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1630" w:tblpY="1623"/>
        <w:tblOverlap w:val="never"/>
        <w:tblW w:w="0" w:type="auto"/>
        <w:tblInd w:w="0" w:type="dxa"/>
        <w:tblLayout w:type="fixed"/>
        <w:tblCellMar>
          <w:top w:w="0" w:type="dxa"/>
          <w:left w:w="108" w:type="dxa"/>
          <w:bottom w:w="0" w:type="dxa"/>
          <w:right w:w="108" w:type="dxa"/>
        </w:tblCellMar>
      </w:tblPr>
      <w:tblGrid>
        <w:gridCol w:w="8960"/>
      </w:tblGrid>
      <w:tr>
        <w:tblPrEx>
          <w:tblCellMar>
            <w:top w:w="0" w:type="dxa"/>
            <w:left w:w="108" w:type="dxa"/>
            <w:bottom w:w="0" w:type="dxa"/>
            <w:right w:w="108" w:type="dxa"/>
          </w:tblCellMar>
        </w:tblPrEx>
        <w:trPr>
          <w:cantSplit/>
          <w:trHeight w:val="1264" w:hRule="atLeast"/>
        </w:trPr>
        <w:tc>
          <w:tcPr>
            <w:tcW w:w="8960" w:type="dxa"/>
          </w:tcPr>
          <w:p>
            <w:pPr>
              <w:spacing w:line="1060" w:lineRule="exact"/>
              <w:jc w:val="distribute"/>
              <w:rPr>
                <w:rFonts w:eastAsia="方正小标宋简体"/>
                <w:color w:val="FF0000"/>
                <w:w w:val="65"/>
                <w:sz w:val="72"/>
                <w:szCs w:val="72"/>
              </w:rPr>
            </w:pPr>
            <w:r>
              <w:rPr>
                <w:rFonts w:hint="eastAsia" w:eastAsia="方正小标宋简体"/>
                <w:color w:val="FF0000"/>
                <w:w w:val="65"/>
                <w:sz w:val="72"/>
                <w:szCs w:val="72"/>
              </w:rPr>
              <w:t>浙江省成人教育与职业教育协会</w:t>
            </w:r>
          </w:p>
        </w:tc>
      </w:tr>
    </w:tbl>
    <w:p>
      <w:pPr>
        <w:widowControl/>
        <w:spacing w:line="559" w:lineRule="atLeast"/>
        <w:ind w:left="2209" w:hanging="1050" w:hangingChars="500"/>
        <w:jc w:val="center"/>
        <w:rPr>
          <w:rFonts w:hint="eastAsia" w:ascii="仿宋" w:hAnsi="仿宋" w:eastAsia="仿宋" w:cs="仿宋"/>
          <w:color w:val="151515"/>
          <w:kern w:val="0"/>
          <w:sz w:val="32"/>
          <w:szCs w:val="32"/>
        </w:rPr>
      </w:pPr>
      <w:r>
        <w:rPr>
          <w:rFonts w:hint="eastAsia" w:ascii="仿宋" w:hAnsi="仿宋" w:eastAsia="仿宋" w:cs="仿宋"/>
        </w:rPr>
        <mc:AlternateContent>
          <mc:Choice Requires="wps">
            <w:drawing>
              <wp:anchor distT="0" distB="0" distL="114300" distR="114300" simplePos="0" relativeHeight="251659264" behindDoc="0" locked="0" layoutInCell="1" allowOverlap="1">
                <wp:simplePos x="0" y="0"/>
                <wp:positionH relativeFrom="column">
                  <wp:posOffset>-191770</wp:posOffset>
                </wp:positionH>
                <wp:positionV relativeFrom="paragraph">
                  <wp:posOffset>1297940</wp:posOffset>
                </wp:positionV>
                <wp:extent cx="5734050" cy="0"/>
                <wp:effectExtent l="0" t="19050" r="0" b="19050"/>
                <wp:wrapNone/>
                <wp:docPr id="1" name="直接连接符 1"/>
                <wp:cNvGraphicFramePr/>
                <a:graphic xmlns:a="http://schemas.openxmlformats.org/drawingml/2006/main">
                  <a:graphicData uri="http://schemas.microsoft.com/office/word/2010/wordprocessingShape">
                    <wps:wsp>
                      <wps:cNvCnPr/>
                      <wps:spPr>
                        <a:xfrm>
                          <a:off x="935990" y="2498090"/>
                          <a:ext cx="5734050" cy="0"/>
                        </a:xfrm>
                        <a:prstGeom prst="line">
                          <a:avLst/>
                        </a:prstGeom>
                        <a:ln w="38100" cap="flat" cmpd="sng">
                          <a:solidFill>
                            <a:srgbClr val="FF0000"/>
                          </a:solidFill>
                          <a:prstDash val="solid"/>
                          <a:headEnd type="none" w="med" len="med"/>
                          <a:tailEnd type="none" w="med" len="med"/>
                        </a:ln>
                        <a:effectLst/>
                      </wps:spPr>
                      <wps:bodyPr/>
                    </wps:wsp>
                  </a:graphicData>
                </a:graphic>
              </wp:anchor>
            </w:drawing>
          </mc:Choice>
          <mc:Fallback>
            <w:pict>
              <v:line id="_x0000_s1026" o:spid="_x0000_s1026" o:spt="20" style="position:absolute;left:0pt;margin-left:-15.1pt;margin-top:102.2pt;height:0pt;width:451.5pt;z-index:251659264;mso-width-relative:page;mso-height-relative:page;" filled="f" stroked="t" coordsize="21600,21600" o:gfxdata="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tM8Oa9sAAAALAQAADwAAAAAAAAABACAAAAAiAAAAZHJz&#10;L2Rvd25yZXYueG1sUEsBAhQAFAAAAAgAh07iQHZ6QPkBAgAA8gMAAA4AAAAAAAAAAQAgAAAAKgEA&#10;AGRycy9lMm9Eb2MueG1sUEsFBgAAAAAGAAYAWQEAAJ0FAAAAAA==&#10;">
                <v:fill on="f" focussize="0,0"/>
                <v:stroke weight="3pt" color="#FF0000" joinstyle="round"/>
                <v:imagedata o:title=""/>
                <o:lock v:ext="edit" aspectratio="f"/>
              </v:line>
            </w:pict>
          </mc:Fallback>
        </mc:AlternateContent>
      </w:r>
      <w:r>
        <w:rPr>
          <w:rFonts w:hint="eastAsia" w:ascii="仿宋" w:hAnsi="仿宋" w:eastAsia="仿宋" w:cs="仿宋"/>
          <w:color w:val="151515"/>
          <w:kern w:val="0"/>
          <w:sz w:val="32"/>
          <w:szCs w:val="32"/>
        </w:rPr>
        <w:t>浙成职协〔202</w:t>
      </w:r>
      <w:r>
        <w:rPr>
          <w:rFonts w:hint="eastAsia" w:ascii="仿宋" w:hAnsi="仿宋" w:eastAsia="仿宋" w:cs="仿宋"/>
          <w:color w:val="151515"/>
          <w:kern w:val="0"/>
          <w:sz w:val="32"/>
          <w:szCs w:val="32"/>
          <w:lang w:val="en-US" w:eastAsia="zh-CN"/>
        </w:rPr>
        <w:t>4</w:t>
      </w:r>
      <w:r>
        <w:rPr>
          <w:rFonts w:hint="eastAsia" w:ascii="仿宋" w:hAnsi="仿宋" w:eastAsia="仿宋" w:cs="仿宋"/>
          <w:color w:val="151515"/>
          <w:kern w:val="0"/>
          <w:sz w:val="32"/>
          <w:szCs w:val="32"/>
        </w:rPr>
        <w:t>〕</w:t>
      </w:r>
      <w:r>
        <w:rPr>
          <w:rFonts w:hint="eastAsia" w:ascii="仿宋" w:hAnsi="仿宋" w:eastAsia="仿宋" w:cs="仿宋"/>
          <w:color w:val="151515"/>
          <w:kern w:val="0"/>
          <w:sz w:val="32"/>
          <w:szCs w:val="32"/>
          <w:lang w:val="en-US" w:eastAsia="zh-CN"/>
        </w:rPr>
        <w:t>6</w:t>
      </w:r>
      <w:r>
        <w:rPr>
          <w:rFonts w:hint="eastAsia" w:ascii="仿宋" w:hAnsi="仿宋" w:eastAsia="仿宋" w:cs="仿宋"/>
          <w:color w:val="151515"/>
          <w:kern w:val="0"/>
          <w:sz w:val="32"/>
          <w:szCs w:val="32"/>
        </w:rPr>
        <w:t>号</w:t>
      </w:r>
    </w:p>
    <w:p>
      <w:pPr>
        <w:widowControl/>
        <w:spacing w:line="360" w:lineRule="auto"/>
        <w:ind w:left="2209" w:hanging="1000" w:hangingChars="500"/>
        <w:jc w:val="both"/>
        <w:rPr>
          <w:rFonts w:hint="eastAsia" w:ascii="仿宋_GB2312" w:hAnsi="仿宋_GB2312" w:eastAsia="仿宋_GB2312" w:cs="仿宋_GB2312"/>
          <w:color w:val="151515"/>
          <w:kern w:val="0"/>
          <w:sz w:val="20"/>
          <w:szCs w:val="20"/>
        </w:rPr>
      </w:pPr>
    </w:p>
    <w:p>
      <w:pPr>
        <w:pStyle w:val="2"/>
        <w:widowControl/>
        <w:shd w:val="clear" w:color="auto" w:fill="FFFFFF"/>
        <w:spacing w:before="120" w:beforeAutospacing="0" w:after="75" w:afterAutospacing="0" w:line="360" w:lineRule="auto"/>
        <w:jc w:val="center"/>
        <w:rPr>
          <w:rFonts w:hint="eastAsia" w:ascii="方正小标宋简体" w:hAnsi="方正小标宋简体" w:eastAsia="方正小标宋简体" w:cs="方正小标宋简体"/>
          <w:b w:val="0"/>
          <w:bCs w:val="0"/>
          <w:color w:val="000000"/>
          <w:sz w:val="44"/>
          <w:szCs w:val="44"/>
          <w:lang w:bidi="ar"/>
        </w:rPr>
      </w:pPr>
      <w:r>
        <w:rPr>
          <w:rFonts w:hint="eastAsia" w:ascii="方正小标宋简体" w:hAnsi="方正小标宋简体" w:eastAsia="方正小标宋简体" w:cs="方正小标宋简体"/>
          <w:b w:val="0"/>
          <w:bCs w:val="0"/>
          <w:kern w:val="2"/>
          <w:sz w:val="44"/>
          <w:szCs w:val="44"/>
          <w:lang w:val="en-US" w:eastAsia="zh-CN" w:bidi="ar-SA"/>
        </w:rPr>
        <w:t>关于公布2024年浙江省职业教育与成人教育优秀教科研成果评选结果的通知</w:t>
      </w:r>
      <w:bookmarkStart w:id="0" w:name="_GoBack"/>
      <w:bookmarkEnd w:id="0"/>
    </w:p>
    <w:p>
      <w:pPr>
        <w:pStyle w:val="6"/>
        <w:shd w:val="clear" w:color="auto" w:fill="FFFFFF"/>
        <w:spacing w:before="0" w:beforeAutospacing="0" w:after="0" w:afterAutospacing="0" w:line="580" w:lineRule="exact"/>
        <w:jc w:val="both"/>
        <w:rPr>
          <w:rFonts w:hint="eastAsia" w:ascii="仿宋" w:hAnsi="仿宋" w:eastAsia="仿宋" w:cs="仿宋"/>
          <w:color w:val="000000" w:themeColor="text1"/>
          <w:kern w:val="0"/>
          <w:sz w:val="32"/>
          <w:szCs w:val="32"/>
          <w14:textFill>
            <w14:solidFill>
              <w14:schemeClr w14:val="tx1"/>
            </w14:solidFill>
          </w14:textFill>
        </w:rPr>
      </w:pPr>
    </w:p>
    <w:p>
      <w:pPr>
        <w:pStyle w:val="6"/>
        <w:shd w:val="clear" w:color="auto" w:fill="FFFFFF"/>
        <w:spacing w:before="0" w:beforeAutospacing="0" w:after="0" w:afterAutospacing="0" w:line="580" w:lineRule="exact"/>
        <w:jc w:val="both"/>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各会员单位：</w:t>
      </w:r>
    </w:p>
    <w:p>
      <w:pPr>
        <w:pStyle w:val="6"/>
        <w:shd w:val="clear" w:color="auto" w:fill="FFFFFF"/>
        <w:spacing w:before="0" w:beforeAutospacing="0" w:after="0" w:afterAutospacing="0" w:line="580" w:lineRule="exact"/>
        <w:ind w:firstLine="640" w:firstLineChars="200"/>
        <w:jc w:val="both"/>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根据《关于开展202</w:t>
      </w:r>
      <w:r>
        <w:rPr>
          <w:rFonts w:hint="eastAsia" w:ascii="仿宋" w:hAnsi="仿宋" w:eastAsia="仿宋" w:cs="仿宋"/>
          <w:color w:val="000000" w:themeColor="text1"/>
          <w:kern w:val="0"/>
          <w:sz w:val="32"/>
          <w:szCs w:val="32"/>
          <w:lang w:val="en-US" w:eastAsia="zh-CN"/>
          <w14:textFill>
            <w14:solidFill>
              <w14:schemeClr w14:val="tx1"/>
            </w14:solidFill>
          </w14:textFill>
        </w:rPr>
        <w:t>4</w:t>
      </w:r>
      <w:r>
        <w:rPr>
          <w:rFonts w:hint="eastAsia" w:ascii="仿宋" w:hAnsi="仿宋" w:eastAsia="仿宋" w:cs="仿宋"/>
          <w:color w:val="000000" w:themeColor="text1"/>
          <w:kern w:val="0"/>
          <w:sz w:val="32"/>
          <w:szCs w:val="32"/>
          <w14:textFill>
            <w14:solidFill>
              <w14:schemeClr w14:val="tx1"/>
            </w14:solidFill>
          </w14:textFill>
        </w:rPr>
        <w:t>年浙江省职业教育与成人教育优秀教科研成果评选活动的通知》（浙成职协</w:t>
      </w:r>
      <w:r>
        <w:rPr>
          <w:rFonts w:hint="eastAsia" w:ascii="仿宋" w:hAnsi="仿宋" w:eastAsia="仿宋" w:cs="仿宋"/>
          <w:sz w:val="32"/>
          <w:szCs w:val="36"/>
          <w:lang w:val="en-US" w:eastAsia="zh-CN"/>
        </w:rPr>
        <w:t>〔2024〕3</w:t>
      </w:r>
      <w:r>
        <w:rPr>
          <w:rFonts w:hint="eastAsia" w:ascii="仿宋" w:hAnsi="仿宋" w:eastAsia="仿宋" w:cs="仿宋"/>
          <w:color w:val="000000" w:themeColor="text1"/>
          <w:kern w:val="0"/>
          <w:sz w:val="32"/>
          <w:szCs w:val="32"/>
          <w14:textFill>
            <w14:solidFill>
              <w14:schemeClr w14:val="tx1"/>
            </w14:solidFill>
          </w14:textFill>
        </w:rPr>
        <w:t>号）要求，经个人申报、各会员单位审核限额推荐、专家评审、网上公示，评选出202</w:t>
      </w:r>
      <w:r>
        <w:rPr>
          <w:rFonts w:hint="eastAsia" w:ascii="仿宋" w:hAnsi="仿宋" w:eastAsia="仿宋" w:cs="仿宋"/>
          <w:color w:val="000000" w:themeColor="text1"/>
          <w:kern w:val="0"/>
          <w:sz w:val="32"/>
          <w:szCs w:val="32"/>
          <w:lang w:val="en-US" w:eastAsia="zh-CN"/>
          <w14:textFill>
            <w14:solidFill>
              <w14:schemeClr w14:val="tx1"/>
            </w14:solidFill>
          </w14:textFill>
        </w:rPr>
        <w:t>4</w:t>
      </w:r>
      <w:r>
        <w:rPr>
          <w:rFonts w:hint="eastAsia" w:ascii="仿宋" w:hAnsi="仿宋" w:eastAsia="仿宋" w:cs="仿宋"/>
          <w:color w:val="000000" w:themeColor="text1"/>
          <w:kern w:val="0"/>
          <w:sz w:val="32"/>
          <w:szCs w:val="32"/>
          <w14:textFill>
            <w14:solidFill>
              <w14:schemeClr w14:val="tx1"/>
            </w14:solidFill>
          </w14:textFill>
        </w:rPr>
        <w:t>年浙江省职业教育与成人教育优秀教科研成果一、二、三等奖共</w:t>
      </w:r>
      <w:r>
        <w:rPr>
          <w:rFonts w:hint="eastAsia" w:ascii="仿宋" w:hAnsi="仿宋" w:eastAsia="仿宋" w:cs="仿宋"/>
          <w:color w:val="000000" w:themeColor="text1"/>
          <w:kern w:val="0"/>
          <w:sz w:val="32"/>
          <w:szCs w:val="32"/>
          <w:lang w:val="en-US" w:eastAsia="zh-CN"/>
          <w14:textFill>
            <w14:solidFill>
              <w14:schemeClr w14:val="tx1"/>
            </w14:solidFill>
          </w14:textFill>
        </w:rPr>
        <w:t>319</w:t>
      </w:r>
      <w:r>
        <w:rPr>
          <w:rFonts w:hint="eastAsia" w:ascii="仿宋" w:hAnsi="仿宋" w:eastAsia="仿宋" w:cs="仿宋"/>
          <w:color w:val="000000" w:themeColor="text1"/>
          <w:kern w:val="0"/>
          <w:sz w:val="32"/>
          <w:szCs w:val="32"/>
          <w14:textFill>
            <w14:solidFill>
              <w14:schemeClr w14:val="tx1"/>
            </w14:solidFill>
          </w14:textFill>
        </w:rPr>
        <w:t>项，其中高职高教类</w:t>
      </w:r>
      <w:r>
        <w:rPr>
          <w:rFonts w:hint="eastAsia" w:ascii="仿宋" w:hAnsi="仿宋" w:eastAsia="仿宋" w:cs="仿宋"/>
          <w:color w:val="000000" w:themeColor="text1"/>
          <w:kern w:val="0"/>
          <w:sz w:val="32"/>
          <w:szCs w:val="32"/>
          <w:lang w:val="en-US" w:eastAsia="zh-CN"/>
          <w14:textFill>
            <w14:solidFill>
              <w14:schemeClr w14:val="tx1"/>
            </w14:solidFill>
          </w14:textFill>
        </w:rPr>
        <w:t>74</w:t>
      </w:r>
      <w:r>
        <w:rPr>
          <w:rFonts w:hint="eastAsia" w:ascii="仿宋" w:hAnsi="仿宋" w:eastAsia="仿宋" w:cs="仿宋"/>
          <w:color w:val="000000" w:themeColor="text1"/>
          <w:kern w:val="0"/>
          <w:sz w:val="32"/>
          <w:szCs w:val="32"/>
          <w14:textFill>
            <w14:solidFill>
              <w14:schemeClr w14:val="tx1"/>
            </w14:solidFill>
          </w14:textFill>
        </w:rPr>
        <w:t>项，中职类</w:t>
      </w:r>
      <w:r>
        <w:rPr>
          <w:rFonts w:hint="eastAsia" w:ascii="仿宋" w:hAnsi="仿宋" w:eastAsia="仿宋" w:cs="仿宋"/>
          <w:color w:val="000000" w:themeColor="text1"/>
          <w:kern w:val="0"/>
          <w:sz w:val="32"/>
          <w:szCs w:val="32"/>
          <w:lang w:val="en-US" w:eastAsia="zh-CN"/>
          <w14:textFill>
            <w14:solidFill>
              <w14:schemeClr w14:val="tx1"/>
            </w14:solidFill>
          </w14:textFill>
        </w:rPr>
        <w:t>166</w:t>
      </w:r>
      <w:r>
        <w:rPr>
          <w:rFonts w:hint="eastAsia" w:ascii="仿宋" w:hAnsi="仿宋" w:eastAsia="仿宋" w:cs="仿宋"/>
          <w:color w:val="000000" w:themeColor="text1"/>
          <w:kern w:val="0"/>
          <w:sz w:val="32"/>
          <w:szCs w:val="32"/>
          <w14:textFill>
            <w14:solidFill>
              <w14:schemeClr w14:val="tx1"/>
            </w14:solidFill>
          </w14:textFill>
        </w:rPr>
        <w:t>项，社区教育类</w:t>
      </w:r>
      <w:r>
        <w:rPr>
          <w:rFonts w:hint="eastAsia" w:ascii="仿宋" w:hAnsi="仿宋" w:eastAsia="仿宋" w:cs="仿宋"/>
          <w:color w:val="000000" w:themeColor="text1"/>
          <w:kern w:val="0"/>
          <w:sz w:val="32"/>
          <w:szCs w:val="32"/>
          <w:lang w:val="en-US" w:eastAsia="zh-CN"/>
          <w14:textFill>
            <w14:solidFill>
              <w14:schemeClr w14:val="tx1"/>
            </w14:solidFill>
          </w14:textFill>
        </w:rPr>
        <w:t>79</w:t>
      </w:r>
      <w:r>
        <w:rPr>
          <w:rFonts w:hint="eastAsia" w:ascii="仿宋" w:hAnsi="仿宋" w:eastAsia="仿宋" w:cs="仿宋"/>
          <w:color w:val="000000" w:themeColor="text1"/>
          <w:kern w:val="0"/>
          <w:sz w:val="32"/>
          <w:szCs w:val="32"/>
          <w14:textFill>
            <w14:solidFill>
              <w14:schemeClr w14:val="tx1"/>
            </w14:solidFill>
          </w14:textFill>
        </w:rPr>
        <w:t>项，现予以公布（详见附件）。</w:t>
      </w:r>
    </w:p>
    <w:p>
      <w:pPr>
        <w:pStyle w:val="6"/>
        <w:shd w:val="clear" w:color="auto" w:fill="FFFFFF"/>
        <w:spacing w:before="0" w:beforeAutospacing="0" w:after="0" w:afterAutospacing="0" w:line="580" w:lineRule="exact"/>
        <w:jc w:val="both"/>
        <w:rPr>
          <w:rFonts w:hint="eastAsia" w:ascii="仿宋" w:hAnsi="仿宋" w:eastAsia="仿宋" w:cs="仿宋"/>
          <w:color w:val="000000" w:themeColor="text1"/>
          <w:kern w:val="0"/>
          <w:sz w:val="32"/>
          <w:szCs w:val="32"/>
          <w:lang w:eastAsia="zh-CN"/>
          <w14:textFill>
            <w14:solidFill>
              <w14:schemeClr w14:val="tx1"/>
            </w14:solidFill>
          </w14:textFill>
        </w:rPr>
      </w:pPr>
    </w:p>
    <w:p>
      <w:pPr>
        <w:pStyle w:val="6"/>
        <w:shd w:val="clear" w:color="auto" w:fill="FFFFFF"/>
        <w:spacing w:before="0" w:beforeAutospacing="0" w:after="0" w:afterAutospacing="0" w:line="580" w:lineRule="exact"/>
        <w:ind w:firstLine="640" w:firstLineChars="200"/>
        <w:jc w:val="both"/>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附件：202</w:t>
      </w:r>
      <w:r>
        <w:rPr>
          <w:rFonts w:hint="eastAsia" w:ascii="仿宋" w:hAnsi="仿宋" w:eastAsia="仿宋" w:cs="仿宋"/>
          <w:color w:val="000000" w:themeColor="text1"/>
          <w:kern w:val="0"/>
          <w:sz w:val="32"/>
          <w:szCs w:val="32"/>
          <w:lang w:val="en-US" w:eastAsia="zh-CN"/>
          <w14:textFill>
            <w14:solidFill>
              <w14:schemeClr w14:val="tx1"/>
            </w14:solidFill>
          </w14:textFill>
        </w:rPr>
        <w:t>4</w:t>
      </w:r>
      <w:r>
        <w:rPr>
          <w:rFonts w:hint="eastAsia" w:ascii="仿宋" w:hAnsi="仿宋" w:eastAsia="仿宋" w:cs="仿宋"/>
          <w:color w:val="000000" w:themeColor="text1"/>
          <w:kern w:val="0"/>
          <w:sz w:val="32"/>
          <w:szCs w:val="32"/>
          <w14:textFill>
            <w14:solidFill>
              <w14:schemeClr w14:val="tx1"/>
            </w14:solidFill>
          </w14:textFill>
        </w:rPr>
        <w:t>年浙江省职业教育与成人教育优秀教科研成果获奖名单</w:t>
      </w:r>
    </w:p>
    <w:p>
      <w:pPr>
        <w:pStyle w:val="6"/>
        <w:shd w:val="clear" w:color="auto" w:fill="FFFFFF"/>
        <w:spacing w:before="0" w:beforeAutospacing="0" w:after="0" w:afterAutospacing="0" w:line="580" w:lineRule="exact"/>
        <w:jc w:val="both"/>
        <w:rPr>
          <w:rFonts w:hint="eastAsia" w:ascii="仿宋" w:hAnsi="仿宋" w:eastAsia="仿宋" w:cs="仿宋"/>
          <w:color w:val="000000" w:themeColor="text1"/>
          <w:kern w:val="0"/>
          <w:sz w:val="32"/>
          <w:szCs w:val="32"/>
          <w14:textFill>
            <w14:solidFill>
              <w14:schemeClr w14:val="tx1"/>
            </w14:solidFill>
          </w14:textFill>
        </w:rPr>
      </w:pPr>
    </w:p>
    <w:p>
      <w:pPr>
        <w:pStyle w:val="6"/>
        <w:shd w:val="clear" w:color="auto" w:fill="FFFFFF"/>
        <w:spacing w:before="0" w:beforeAutospacing="0" w:after="0" w:afterAutospacing="0" w:line="580" w:lineRule="exact"/>
        <w:jc w:val="right"/>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14:textFill>
            <w14:solidFill>
              <w14:schemeClr w14:val="tx1"/>
            </w14:solidFill>
          </w14:textFill>
        </w:rPr>
        <w:t>浙江省成人教育与职业教育协会</w:t>
      </w:r>
    </w:p>
    <w:p>
      <w:pPr>
        <w:pStyle w:val="6"/>
        <w:shd w:val="clear" w:color="auto" w:fill="FFFFFF"/>
        <w:spacing w:before="0" w:beforeAutospacing="0" w:after="0" w:afterAutospacing="0" w:line="580" w:lineRule="exact"/>
        <w:jc w:val="center"/>
        <w:rPr>
          <w:rFonts w:hint="eastAsia" w:ascii="仿宋" w:hAnsi="仿宋" w:eastAsia="仿宋" w:cs="仿宋"/>
          <w:color w:val="000000" w:themeColor="text1"/>
          <w:kern w:val="0"/>
          <w:sz w:val="32"/>
          <w:szCs w:val="32"/>
          <w14:textFill>
            <w14:solidFill>
              <w14:schemeClr w14:val="tx1"/>
            </w14:solidFill>
          </w14:textFill>
        </w:rPr>
      </w:pP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                        </w:t>
      </w:r>
      <w:r>
        <w:rPr>
          <w:rFonts w:hint="eastAsia" w:ascii="仿宋" w:hAnsi="仿宋" w:eastAsia="仿宋" w:cs="仿宋"/>
          <w:color w:val="000000" w:themeColor="text1"/>
          <w:kern w:val="0"/>
          <w:sz w:val="32"/>
          <w:szCs w:val="32"/>
          <w14:textFill>
            <w14:solidFill>
              <w14:schemeClr w14:val="tx1"/>
            </w14:solidFill>
          </w14:textFill>
        </w:rPr>
        <w:t>浙江省教育厅职成教教研室</w:t>
      </w:r>
    </w:p>
    <w:p>
      <w:pPr>
        <w:pStyle w:val="6"/>
        <w:shd w:val="clear" w:color="auto" w:fill="FFFFFF"/>
        <w:spacing w:before="0" w:beforeAutospacing="0" w:after="0" w:afterAutospacing="0" w:line="580" w:lineRule="exact"/>
        <w:ind w:firstLine="3840" w:firstLineChars="1200"/>
        <w:jc w:val="both"/>
        <w:rPr>
          <w:rFonts w:hint="eastAsia" w:ascii="仿宋" w:hAnsi="仿宋" w:eastAsia="仿宋" w:cs="仿宋"/>
          <w:color w:val="151515"/>
          <w:kern w:val="0"/>
          <w:sz w:val="32"/>
          <w:szCs w:val="32"/>
          <w:shd w:val="clear" w:color="auto" w:fill="FFFFFF"/>
          <w:lang w:bidi="ar"/>
        </w:rPr>
      </w:pPr>
      <w:r>
        <w:rPr>
          <w:rFonts w:hint="eastAsia" w:ascii="仿宋" w:hAnsi="仿宋" w:eastAsia="仿宋" w:cs="仿宋"/>
          <w:color w:val="000000" w:themeColor="text1"/>
          <w:kern w:val="0"/>
          <w:sz w:val="32"/>
          <w:szCs w:val="32"/>
          <w:lang w:val="en-US" w:eastAsia="zh-CN"/>
          <w14:textFill>
            <w14:solidFill>
              <w14:schemeClr w14:val="tx1"/>
            </w14:solidFill>
          </w14:textFill>
        </w:rPr>
        <w:t xml:space="preserve">       </w:t>
      </w:r>
      <w:r>
        <w:rPr>
          <w:rFonts w:hint="eastAsia" w:ascii="仿宋" w:hAnsi="仿宋" w:eastAsia="仿宋" w:cs="仿宋"/>
          <w:color w:val="000000" w:themeColor="text1"/>
          <w:kern w:val="0"/>
          <w:sz w:val="32"/>
          <w:szCs w:val="32"/>
          <w14:textFill>
            <w14:solidFill>
              <w14:schemeClr w14:val="tx1"/>
            </w14:solidFill>
          </w14:textFill>
        </w:rPr>
        <w:t>202</w:t>
      </w:r>
      <w:r>
        <w:rPr>
          <w:rFonts w:hint="eastAsia" w:ascii="仿宋" w:hAnsi="仿宋" w:eastAsia="仿宋" w:cs="仿宋"/>
          <w:color w:val="000000" w:themeColor="text1"/>
          <w:kern w:val="0"/>
          <w:sz w:val="32"/>
          <w:szCs w:val="32"/>
          <w:lang w:val="en-US" w:eastAsia="zh-CN"/>
          <w14:textFill>
            <w14:solidFill>
              <w14:schemeClr w14:val="tx1"/>
            </w14:solidFill>
          </w14:textFill>
        </w:rPr>
        <w:t>4</w:t>
      </w:r>
      <w:r>
        <w:rPr>
          <w:rFonts w:hint="eastAsia" w:ascii="仿宋" w:hAnsi="仿宋" w:eastAsia="仿宋" w:cs="仿宋"/>
          <w:color w:val="000000" w:themeColor="text1"/>
          <w:kern w:val="0"/>
          <w:sz w:val="32"/>
          <w:szCs w:val="32"/>
          <w14:textFill>
            <w14:solidFill>
              <w14:schemeClr w14:val="tx1"/>
            </w14:solidFill>
          </w14:textFill>
        </w:rPr>
        <w:t>年</w:t>
      </w:r>
      <w:r>
        <w:rPr>
          <w:rFonts w:hint="eastAsia" w:ascii="仿宋" w:hAnsi="仿宋" w:eastAsia="仿宋" w:cs="仿宋"/>
          <w:color w:val="000000" w:themeColor="text1"/>
          <w:kern w:val="0"/>
          <w:sz w:val="32"/>
          <w:szCs w:val="32"/>
          <w:lang w:val="en-US" w:eastAsia="zh-CN"/>
          <w14:textFill>
            <w14:solidFill>
              <w14:schemeClr w14:val="tx1"/>
            </w14:solidFill>
          </w14:textFill>
        </w:rPr>
        <w:t>5</w:t>
      </w:r>
      <w:r>
        <w:rPr>
          <w:rFonts w:hint="eastAsia" w:ascii="仿宋" w:hAnsi="仿宋" w:eastAsia="仿宋" w:cs="仿宋"/>
          <w:color w:val="000000" w:themeColor="text1"/>
          <w:kern w:val="0"/>
          <w:sz w:val="32"/>
          <w:szCs w:val="32"/>
          <w14:textFill>
            <w14:solidFill>
              <w14:schemeClr w14:val="tx1"/>
            </w14:solidFill>
          </w14:textFill>
        </w:rPr>
        <w:t>月</w:t>
      </w:r>
      <w:r>
        <w:rPr>
          <w:rFonts w:hint="eastAsia" w:ascii="仿宋" w:hAnsi="仿宋" w:eastAsia="仿宋" w:cs="仿宋"/>
          <w:color w:val="000000" w:themeColor="text1"/>
          <w:kern w:val="0"/>
          <w:sz w:val="32"/>
          <w:szCs w:val="32"/>
          <w:lang w:val="en-US" w:eastAsia="zh-CN"/>
          <w14:textFill>
            <w14:solidFill>
              <w14:schemeClr w14:val="tx1"/>
            </w14:solidFill>
          </w14:textFill>
        </w:rPr>
        <w:t>24</w:t>
      </w:r>
      <w:r>
        <w:rPr>
          <w:rFonts w:hint="eastAsia" w:ascii="仿宋" w:hAnsi="仿宋" w:eastAsia="仿宋" w:cs="仿宋"/>
          <w:color w:val="000000" w:themeColor="text1"/>
          <w:kern w:val="0"/>
          <w:sz w:val="32"/>
          <w:szCs w:val="32"/>
          <w14:textFill>
            <w14:solidFill>
              <w14:schemeClr w14:val="tx1"/>
            </w14:solidFill>
          </w14:textFill>
        </w:rPr>
        <w:t>日</w:t>
      </w:r>
    </w:p>
    <w:p>
      <w:pPr>
        <w:widowControl/>
        <w:shd w:val="clear" w:color="auto" w:fill="FFFFFF"/>
        <w:spacing w:before="225" w:line="360" w:lineRule="auto"/>
        <w:jc w:val="left"/>
        <w:rPr>
          <w:rFonts w:hint="eastAsia" w:ascii="仿宋" w:hAnsi="仿宋" w:eastAsia="仿宋" w:cs="仿宋"/>
          <w:color w:val="151515"/>
          <w:kern w:val="0"/>
          <w:sz w:val="32"/>
          <w:szCs w:val="32"/>
          <w:shd w:val="clear" w:color="auto" w:fill="FFFFFF"/>
          <w:lang w:bidi="ar"/>
        </w:rPr>
        <w:sectPr>
          <w:headerReference r:id="rId3" w:type="default"/>
          <w:footerReference r:id="rId4" w:type="default"/>
          <w:pgSz w:w="11906" w:h="16838"/>
          <w:pgMar w:top="1440" w:right="1800" w:bottom="1440" w:left="1800" w:header="851" w:footer="992" w:gutter="0"/>
          <w:cols w:space="425" w:num="1"/>
          <w:docGrid w:type="lines" w:linePitch="312" w:charSpace="0"/>
        </w:sectPr>
      </w:pPr>
    </w:p>
    <w:p>
      <w:pPr>
        <w:rPr>
          <w:rStyle w:val="9"/>
          <w:rFonts w:hint="eastAsia" w:ascii="仿宋" w:hAnsi="仿宋" w:eastAsia="仿宋" w:cs="微软雅黑"/>
          <w:color w:val="151515"/>
          <w:sz w:val="32"/>
          <w:szCs w:val="32"/>
          <w:shd w:val="clear" w:color="auto" w:fill="FFFFFF"/>
        </w:rPr>
      </w:pPr>
      <w:r>
        <w:rPr>
          <w:rStyle w:val="9"/>
          <w:rFonts w:hint="eastAsia" w:ascii="仿宋" w:hAnsi="仿宋" w:eastAsia="仿宋" w:cs="微软雅黑"/>
          <w:color w:val="151515"/>
          <w:sz w:val="32"/>
          <w:szCs w:val="32"/>
          <w:shd w:val="clear" w:color="auto" w:fill="FFFFFF"/>
        </w:rPr>
        <w:t>附件：</w:t>
      </w:r>
    </w:p>
    <w:p>
      <w:pPr>
        <w:rPr>
          <w:rStyle w:val="9"/>
          <w:rFonts w:hint="eastAsia" w:ascii="仿宋" w:hAnsi="仿宋" w:eastAsia="仿宋" w:cs="微软雅黑"/>
          <w:color w:val="151515"/>
          <w:sz w:val="32"/>
          <w:szCs w:val="32"/>
          <w:shd w:val="clear" w:color="auto" w:fill="FFFFFF"/>
        </w:rPr>
      </w:pPr>
    </w:p>
    <w:p>
      <w:pPr>
        <w:jc w:val="center"/>
        <w:rPr>
          <w:rStyle w:val="9"/>
          <w:rFonts w:ascii="微软雅黑" w:hAnsi="微软雅黑" w:eastAsia="微软雅黑" w:cs="微软雅黑"/>
          <w:color w:val="151515"/>
          <w:sz w:val="20"/>
          <w:szCs w:val="20"/>
          <w:shd w:val="clear" w:color="auto" w:fill="FFFFFF"/>
        </w:rPr>
      </w:pPr>
      <w:r>
        <w:rPr>
          <w:rStyle w:val="9"/>
          <w:rFonts w:hint="eastAsia" w:ascii="方正小标宋简体" w:hAnsi="方正小标宋简体" w:eastAsia="方正小标宋简体" w:cs="方正小标宋简体"/>
          <w:b w:val="0"/>
          <w:bCs/>
          <w:color w:val="151515"/>
          <w:sz w:val="36"/>
          <w:szCs w:val="36"/>
          <w:shd w:val="clear" w:color="auto" w:fill="FFFFFF"/>
        </w:rPr>
        <w:t>202</w:t>
      </w:r>
      <w:r>
        <w:rPr>
          <w:rStyle w:val="9"/>
          <w:rFonts w:hint="eastAsia" w:ascii="方正小标宋简体" w:hAnsi="方正小标宋简体" w:eastAsia="方正小标宋简体" w:cs="方正小标宋简体"/>
          <w:b w:val="0"/>
          <w:bCs/>
          <w:color w:val="151515"/>
          <w:sz w:val="36"/>
          <w:szCs w:val="36"/>
          <w:shd w:val="clear" w:color="auto" w:fill="FFFFFF"/>
          <w:lang w:val="en-US" w:eastAsia="zh-CN"/>
        </w:rPr>
        <w:t>4</w:t>
      </w:r>
      <w:r>
        <w:rPr>
          <w:rStyle w:val="9"/>
          <w:rFonts w:hint="eastAsia" w:ascii="方正小标宋简体" w:hAnsi="方正小标宋简体" w:eastAsia="方正小标宋简体" w:cs="方正小标宋简体"/>
          <w:b w:val="0"/>
          <w:bCs/>
          <w:color w:val="151515"/>
          <w:sz w:val="36"/>
          <w:szCs w:val="36"/>
          <w:shd w:val="clear" w:color="auto" w:fill="FFFFFF"/>
        </w:rPr>
        <w:t>年浙江省职业教育与成人教育优秀教科研成果获奖名单</w:t>
      </w:r>
    </w:p>
    <w:p>
      <w:pPr>
        <w:numPr>
          <w:ilvl w:val="0"/>
          <w:numId w:val="0"/>
        </w:numPr>
        <w:jc w:val="left"/>
        <w:rPr>
          <w:rStyle w:val="9"/>
          <w:rFonts w:hint="eastAsia" w:ascii="宋体" w:hAnsi="宋体" w:eastAsia="宋体" w:cs="宋体"/>
          <w:b w:val="0"/>
          <w:bCs/>
          <w:color w:val="151515"/>
          <w:sz w:val="32"/>
          <w:szCs w:val="32"/>
          <w:shd w:val="clear" w:color="auto" w:fill="FFFFFF"/>
          <w:lang w:val="en-US" w:eastAsia="zh-CN"/>
        </w:rPr>
      </w:pPr>
    </w:p>
    <w:p>
      <w:pPr>
        <w:numPr>
          <w:ilvl w:val="0"/>
          <w:numId w:val="0"/>
        </w:numPr>
        <w:jc w:val="left"/>
        <w:rPr>
          <w:rStyle w:val="9"/>
          <w:rFonts w:ascii="宋体" w:hAnsi="宋体" w:eastAsia="宋体" w:cs="宋体"/>
          <w:b/>
          <w:bCs w:val="0"/>
          <w:color w:val="151515"/>
          <w:sz w:val="32"/>
          <w:szCs w:val="32"/>
          <w:shd w:val="clear" w:color="auto" w:fill="FFFFFF"/>
        </w:rPr>
      </w:pPr>
      <w:r>
        <w:rPr>
          <w:rStyle w:val="9"/>
          <w:rFonts w:hint="eastAsia" w:ascii="宋体" w:hAnsi="宋体" w:eastAsia="宋体" w:cs="宋体"/>
          <w:b/>
          <w:bCs w:val="0"/>
          <w:color w:val="151515"/>
          <w:sz w:val="32"/>
          <w:szCs w:val="32"/>
          <w:shd w:val="clear" w:color="auto" w:fill="FFFFFF"/>
          <w:lang w:val="en-US" w:eastAsia="zh-CN"/>
        </w:rPr>
        <w:t>一、</w:t>
      </w:r>
      <w:r>
        <w:rPr>
          <w:rStyle w:val="9"/>
          <w:rFonts w:hint="eastAsia" w:ascii="宋体" w:hAnsi="宋体" w:eastAsia="宋体" w:cs="宋体"/>
          <w:b/>
          <w:bCs w:val="0"/>
          <w:color w:val="151515"/>
          <w:sz w:val="32"/>
          <w:szCs w:val="32"/>
          <w:shd w:val="clear" w:color="auto" w:fill="FFFFFF"/>
        </w:rPr>
        <w:t>高职高教类</w:t>
      </w: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rPr>
        <w:t>一等奖：</w:t>
      </w:r>
      <w:r>
        <w:rPr>
          <w:rStyle w:val="9"/>
          <w:rFonts w:hint="eastAsia" w:ascii="宋体" w:hAnsi="宋体" w:eastAsia="宋体" w:cs="宋体"/>
          <w:b w:val="0"/>
          <w:bCs/>
          <w:color w:val="151515"/>
          <w:sz w:val="30"/>
          <w:szCs w:val="30"/>
          <w:shd w:val="clear" w:color="auto" w:fill="FFFFFF"/>
          <w:lang w:val="en-US" w:eastAsia="zh-CN"/>
        </w:rPr>
        <w:t>13</w:t>
      </w:r>
      <w:r>
        <w:rPr>
          <w:rStyle w:val="9"/>
          <w:rFonts w:hint="eastAsia" w:ascii="宋体" w:hAnsi="宋体" w:eastAsia="宋体" w:cs="宋体"/>
          <w:b w:val="0"/>
          <w:bCs/>
          <w:color w:val="151515"/>
          <w:sz w:val="30"/>
          <w:szCs w:val="30"/>
          <w:shd w:val="clear" w:color="auto" w:fill="FFFFFF"/>
        </w:rPr>
        <w:t>项</w:t>
      </w:r>
    </w:p>
    <w:tbl>
      <w:tblPr>
        <w:tblStyle w:val="7"/>
        <w:tblW w:w="10618" w:type="dxa"/>
        <w:tblInd w:w="-3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31"/>
        <w:gridCol w:w="3773"/>
        <w:gridCol w:w="1171"/>
        <w:gridCol w:w="2750"/>
        <w:gridCol w:w="219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序号</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成果名称</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成果类别</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作者姓名</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i w:val="0"/>
                <w:iCs w:val="0"/>
                <w:color w:val="000000"/>
                <w:kern w:val="0"/>
                <w:sz w:val="21"/>
                <w:szCs w:val="21"/>
                <w:u w:val="none"/>
                <w:lang w:val="en-US" w:eastAsia="zh-CN" w:bidi="ar"/>
              </w:rPr>
            </w:pPr>
            <w:r>
              <w:rPr>
                <w:rFonts w:hint="eastAsia" w:ascii="宋体" w:hAnsi="宋体" w:eastAsia="宋体" w:cs="宋体"/>
                <w:b/>
                <w:bCs/>
                <w:i w:val="0"/>
                <w:iCs w:val="0"/>
                <w:color w:val="000000"/>
                <w:kern w:val="0"/>
                <w:sz w:val="21"/>
                <w:szCs w:val="21"/>
                <w:u w:val="none"/>
                <w:lang w:val="en-US" w:eastAsia="zh-CN"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5"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打造市域产教联合体须把握三个关键点</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王伟、陈正江</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2</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高职专科“智能控制技术专业”教学标准修订调研报告</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金文兵、郑利敏、黄煜栋、劳佳锋、修晓杰</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2"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3</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“双高计划”视域下高职院校产教融合共同体的建设路径</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赵建峰、陈凯、戎成</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浙江交通职业技术学院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4</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职业教育“三教”改革的制度逻辑、行动困境与优化路径——基于组织新制度主义理论视角</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何兴国、潘丽云、孙菲、梁宁森、郎朝辉</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5</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服务建筑行业产业转型升级的职业院校培训：现状审视与提升路径</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施红瑜</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2"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6</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学行结合：高职院校财经通识课“课程思政”的策略研究与实施</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潘静波、郑伟杰、裘晓飞、张润禾、苏浩</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浙江金融职业学院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35"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7</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技术技能积累视域下高职院校社会服务适应性研究——基于1390所高职院校2021质量年度报告数据的分析</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张菊霞、任君庆</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8</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评价牵引、行业引领、数字赋能：浙纺服院“双师型”教师培育的探索与实践</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章春苗、戚家超、张宝歌、佛朝晖、洪宇</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9</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“六进六回 三师共育”新时代护林人现代学徒制育人模式研究报告</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应俊辉、汤书福、章小燕、柴红玲、张欣伟</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丽水职业技术学院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7"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10</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增材制造技术专业中高职一体化课改研究与实践</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邱葭菲、方一航、王瑞权、夏伶勤、张凌峰</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浙江机电职业技术学院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0"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4"/>
                <w:szCs w:val="24"/>
                <w:u w:val="none"/>
                <w:lang w:val="en-US" w:eastAsia="zh-CN" w:bidi="ar"/>
              </w:rPr>
              <w:t>11</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新版专业目录下土建类专业人才培养模式构建与实施策略</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范大波、金波、雷彩虹、张雪丽</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96"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12</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基于DEA-Tobit模型的“双高计划”建设院校办学效率评估及</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陶勇、马亿前、范敏、朱子萱</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杭州职业技术学院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8" w:hRule="atLeast"/>
        </w:trPr>
        <w:tc>
          <w:tcPr>
            <w:tcW w:w="7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13</w:t>
            </w:r>
          </w:p>
        </w:tc>
        <w:tc>
          <w:tcPr>
            <w:tcW w:w="37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生利导向的研学旅行人才培养研究</w:t>
            </w:r>
          </w:p>
        </w:tc>
        <w:tc>
          <w:tcPr>
            <w:tcW w:w="11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75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王美云</w:t>
            </w:r>
          </w:p>
        </w:tc>
        <w:tc>
          <w:tcPr>
            <w:tcW w:w="219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杭州科技职业技术学院</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hint="eastAsia"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rPr>
        <w:t>二等奖：</w:t>
      </w:r>
      <w:r>
        <w:rPr>
          <w:rStyle w:val="9"/>
          <w:rFonts w:hint="eastAsia" w:ascii="宋体" w:hAnsi="宋体" w:eastAsia="宋体" w:cs="宋体"/>
          <w:b w:val="0"/>
          <w:bCs/>
          <w:color w:val="151515"/>
          <w:sz w:val="30"/>
          <w:szCs w:val="30"/>
          <w:shd w:val="clear" w:color="auto" w:fill="FFFFFF"/>
          <w:lang w:val="en-US" w:eastAsia="zh-CN"/>
        </w:rPr>
        <w:t>25</w:t>
      </w:r>
      <w:r>
        <w:rPr>
          <w:rStyle w:val="9"/>
          <w:rFonts w:hint="eastAsia" w:ascii="宋体" w:hAnsi="宋体" w:eastAsia="宋体" w:cs="宋体"/>
          <w:b w:val="0"/>
          <w:bCs/>
          <w:color w:val="151515"/>
          <w:sz w:val="30"/>
          <w:szCs w:val="30"/>
          <w:shd w:val="clear" w:color="auto" w:fill="FFFFFF"/>
        </w:rPr>
        <w:t>项</w:t>
      </w:r>
    </w:p>
    <w:tbl>
      <w:tblPr>
        <w:tblStyle w:val="7"/>
        <w:tblW w:w="10658" w:type="dxa"/>
        <w:tblInd w:w="-3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45"/>
        <w:gridCol w:w="3771"/>
        <w:gridCol w:w="1183"/>
        <w:gridCol w:w="2696"/>
        <w:gridCol w:w="226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1"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序号</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成果名称</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成果类别</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作者姓名</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4"/>
                <w:szCs w:val="24"/>
                <w:u w:val="none"/>
                <w:lang w:val="en-US" w:eastAsia="zh-CN" w:bidi="ar"/>
              </w:rPr>
              <w:t>1</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长三角高职教育促进农民增收研究：基于动态空间杜宾模型的估计</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林娟、周益斌、周广汉</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浙江金融职业学院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0"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4"/>
                <w:szCs w:val="24"/>
                <w:u w:val="none"/>
                <w:lang w:val="en-US" w:eastAsia="zh-CN" w:bidi="ar"/>
              </w:rPr>
              <w:t>2</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职业本科教育制度构建的现实挑战与应对策略</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瞿连贵、王丽、王瑞敏、韦清、孙凤敏</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金华职业技术学院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4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3</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职业本科教育人才培养模式比较研究——基于32所职业本科院校教育质量报告的文本分析</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彭晋全、王静霞</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浙江横店影视职业学院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2"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4</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“场理论”视域下职业院校教师教学创新团队建设的现实困境和优化路径</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申琦、石伟平</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34"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5</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Research on the sustainable development of new media physical teaching: big data analysis of the relevance of language expression ability</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陈力全</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衢州职业技术学院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6</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教学能力比赛推动残疾人职业教育“三教”改革的实践探索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张磊</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7</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元宇宙视域下开放大学教育模式与教师素养分析</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陈东毅</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5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8</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职业技能培训赋能共同富裕的内在机理、实践困囿与推进策略</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王凯强、毛建卫、冯旭芳</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9</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中国式职业教育现代化视域下特色学徒制高质量发展探索</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郑清松、王波</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10</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教育治理现代化背景下高职产业学院内部治理结构的优化研究</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陈磊</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浙江商业职业技术学院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11</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职教集团实体化运作的问题表征、基本特征及发展路向</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周琳、宋宇凡、姜楚涵、陈泽怡、张梦涵</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浙江机电职业技术学院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12</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婴幼儿照护行业人才需求与职业院校专业设置匹配分析</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吴美蓉、朱晨晨、吴珊珊、荀利</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13</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特殊职业教育中高本一体化贯通培养：现实困境、内涵及对策</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黄华</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浙江特殊教育职业学院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14</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美国社区学院课程设置理念及技术流程简析</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胡志伟</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宁波城市职业技术学院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15</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高职院校县域办学的多重动因、核心议题与发展路径</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朱素芬、蔡金芳、陈佳佳</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温州职业技术学院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16</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退役军人教育培训高质量发展体系实践探索——以以杭州市临平区“运河学院 ”为例</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洪念德</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浙江工商大学杭州商学院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8"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17</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高职院校思政课“半月谈集体备课”形式的创新与实践</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胡伟国、李培芬</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25"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18</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德国“双元制”职业教育模式的形成机理与影响效应——兼论中国职业教育模式的探寻与趋向</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孙凤敏、邵建东、徐珍珍、韦清、王丽</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金华职业技术学院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19</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1+X证书制度理念下职业教育学分银行建设的价值、困境与策略</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茅徐斌</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杭州市职业教育与成人教育协会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20</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高校劳动教育伦理的困局与开解研究</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朱颖、张素梅、丁莹莹、宋艳艳、郑祖威</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浙江经贸职业技术学院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21</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长三角职业教育一体化的演进历程、实然特征与应然路径</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刘颖、卢敏、胡丽珍</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湖州职业技术学院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22</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建筑业法律法规“模块超市”教学管理平台</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任玲华、沙玲、黄奕、周培娇、李峰</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浙江建设职业技术学院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23</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高职教育混合式教学模式绩效评估量化体系的实证研究</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梅鲁海</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浙江机电职业技术学院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24</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浙江省大数据与会计专业中高职一体化课程改革研究</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王忠孝、杨艾、钭志斌、黄丽萍、王茜</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浙江金融职业学院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7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4"/>
                <w:szCs w:val="24"/>
                <w:u w:val="none"/>
                <w:lang w:val="en-US" w:eastAsia="zh-CN"/>
              </w:rPr>
            </w:pPr>
            <w:r>
              <w:rPr>
                <w:rFonts w:hint="eastAsia" w:ascii="宋体" w:hAnsi="宋体" w:eastAsia="宋体" w:cs="宋体"/>
                <w:i w:val="0"/>
                <w:iCs w:val="0"/>
                <w:color w:val="000000"/>
                <w:sz w:val="24"/>
                <w:szCs w:val="24"/>
                <w:u w:val="none"/>
                <w:lang w:val="en-US" w:eastAsia="zh-CN"/>
              </w:rPr>
              <w:t>25</w:t>
            </w:r>
          </w:p>
        </w:tc>
        <w:tc>
          <w:tcPr>
            <w:tcW w:w="377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高职院校产教融合协同育人机制与路径研究</w:t>
            </w:r>
          </w:p>
        </w:tc>
        <w:tc>
          <w:tcPr>
            <w:tcW w:w="11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吴凡、黄志兵、李曼曼、泮依晨、翁聪尔</w:t>
            </w:r>
          </w:p>
        </w:tc>
        <w:tc>
          <w:tcPr>
            <w:tcW w:w="22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宁波幼儿师范高等专科学校</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hint="eastAsia"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lang w:val="en-US" w:eastAsia="zh-CN"/>
        </w:rPr>
        <w:t>三</w:t>
      </w:r>
      <w:r>
        <w:rPr>
          <w:rStyle w:val="9"/>
          <w:rFonts w:hint="eastAsia" w:ascii="宋体" w:hAnsi="宋体" w:eastAsia="宋体" w:cs="宋体"/>
          <w:b w:val="0"/>
          <w:bCs/>
          <w:color w:val="151515"/>
          <w:sz w:val="30"/>
          <w:szCs w:val="30"/>
          <w:shd w:val="clear" w:color="auto" w:fill="FFFFFF"/>
        </w:rPr>
        <w:t>等奖：</w:t>
      </w:r>
      <w:r>
        <w:rPr>
          <w:rStyle w:val="9"/>
          <w:rFonts w:hint="eastAsia" w:ascii="宋体" w:hAnsi="宋体" w:eastAsia="宋体" w:cs="宋体"/>
          <w:b w:val="0"/>
          <w:bCs/>
          <w:color w:val="151515"/>
          <w:sz w:val="30"/>
          <w:szCs w:val="30"/>
          <w:shd w:val="clear" w:color="auto" w:fill="FFFFFF"/>
          <w:lang w:val="en-US" w:eastAsia="zh-CN"/>
        </w:rPr>
        <w:t>36</w:t>
      </w:r>
      <w:r>
        <w:rPr>
          <w:rStyle w:val="9"/>
          <w:rFonts w:hint="eastAsia" w:ascii="宋体" w:hAnsi="宋体" w:eastAsia="宋体" w:cs="宋体"/>
          <w:b w:val="0"/>
          <w:bCs/>
          <w:color w:val="151515"/>
          <w:sz w:val="30"/>
          <w:szCs w:val="30"/>
          <w:shd w:val="clear" w:color="auto" w:fill="FFFFFF"/>
        </w:rPr>
        <w:t>项</w:t>
      </w:r>
    </w:p>
    <w:tbl>
      <w:tblPr>
        <w:tblStyle w:val="7"/>
        <w:tblW w:w="10598" w:type="dxa"/>
        <w:tblInd w:w="-31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65"/>
        <w:gridCol w:w="3634"/>
        <w:gridCol w:w="1273"/>
        <w:gridCol w:w="2562"/>
        <w:gridCol w:w="22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bidi="ar"/>
              </w:rPr>
              <w:t>序号</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bidi="ar"/>
              </w:rPr>
              <w:t>成果名称</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bidi="ar"/>
              </w:rPr>
              <w:t>成果类别</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bidi="ar"/>
              </w:rPr>
              <w:t>作者姓名</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2"/>
                <w:szCs w:val="22"/>
                <w:lang w:val="en-US" w:eastAsia="zh-CN" w:bidi="ar"/>
              </w:rPr>
            </w:pPr>
            <w:r>
              <w:rPr>
                <w:rFonts w:hint="eastAsia" w:ascii="宋体" w:hAnsi="宋体" w:eastAsia="宋体" w:cs="宋体"/>
                <w:b/>
                <w:bCs/>
                <w:color w:val="000000"/>
                <w:kern w:val="0"/>
                <w:sz w:val="22"/>
                <w:szCs w:val="22"/>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“中文+技能”微证书特许项目的耦合机制研究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陆胜蓝、陶宇、王建慧、包亮、林尔</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浙江交通职业技术学院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高职课程建设质量自我评价体系构建研究——以会计专业为例</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俞校明、李国辉、张会莉、吴燕、李栋</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浙江经贸职业技术学院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“现代学徒制”与“企业新型学徒制”一体化发展制度机制研究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岑建</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金华职业技术学院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应用型人才培养视域下继续教育毕业论文全过程管理探析</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赵新</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浙江理工大学继续教育学院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基于医教研学融通的护理教学数字化改革研究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金晓锋、段凯旋、陈菲儿、吴传玲、郭宇</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数智融合支持下高职课堂教学改革的形态表征、内在机理和转型路径</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胡志飞</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金华职业技术学院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开放大学引领社区教育发展——应然定位、实然样态与必然进路</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王珏</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杭州市职业教育与成人教育协会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科教融汇赋能职业教育人才培养的时代价值、现实困境及破解对策</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徐玉成、王波、朱萍</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义乌工商职业技术学院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司法警官职业院校高水平专业群建设的现状和路径——以警察类专业群为核心的考察</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周立民</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浙江警官职业学院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数字教育背景下高职院校特色“新商科”专业群组群逻辑和治理路径研究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刘淑伟、叶丹丹、王基勇</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浙江安防职业技术学院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11</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逆境传承与政党自觉：中国共产党百年革命话语演进及基本经验研究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敖祖辉、董敏杰、任建华、李海</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浙江建设职业技术学院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12</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基于1＋X 证书制度的高职跨境电商人才培养供给侧改革路径</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罗文婷、欧阳驹、章雁峰、姜雯、杨芬</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浙江育英职业技术学院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9"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13</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基于产教融合的“四维融通、三段四环五步、四种能力”教学做一体化“四有”课堂混合式教学改革实践——以《印花工艺与实施》课程为例</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王华清、杨梅、张鹏、夏建明、谢文韬</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14</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中国特色学徒制助力技能型社会建设的现实困境与实践理路</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高芳</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浙江国际海运职业技术学院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15</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强化产教融合推进舟山职业教育高质量发展的思路与对策调研报告</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陈林春、郝永志、李丽、王建强、张龙燕</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浙江国际海运职业技术学院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16</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人工智能背景下高职学生就业技能提升研究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赵洪山、郑永进</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17</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新媒体时代高职院校思想政治教育的实效性及提升策略</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杨于岑</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18</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职业教育对互联网+康养新业态发展的支持匹配研究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朱晓卓、单伟颖</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宁波卫生职业技术学院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3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19</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“产教互融 学岗共振 双向赋能”网络安全现场工程师人才培养的创新实践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傅彬、郑公望、宣凯新、王健、蔡晓霞</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8"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外向型中小企业内外贸一体化面临的困难与建议</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沈伟玲、符其实、刘亚军、林媛媛、杨叶春</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台州科技职业学院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21</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烹饪工艺与营养专业中高职一体化课程改革的探索与实践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黄璐、李鑫、董智慧</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浙江商业职业技术学院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22</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新文科语境下高职院校人才培养与设计教育助力安吉乡村文化基因解码工程的厚植与转化</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厉文琦、王俊、沈丹妮、王孟云</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浙江宇翔职业技术学院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44"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23</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双轨并行，课证融合：基于数字孪生的智能制造职业技能认证课程体系建构与实践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韩金臻、柯良、金泽石、盛国栋、马宇峰</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浙江工业职业技术学院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4"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24</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基于OBE-CDIO理念的机器人综合实践项目开发与实践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吴丽丽、黄海燕</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浙江广厦建设职业技术大学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25</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陶行知“生活教育”与高职劳动教育困境的超越</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陈业秀、符丽琴、熊宗武、陶一莹</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杭州科技职业技术学院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26</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高质量发展视域下“双高”院校绩效评价指标体系构建研究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卢跃茹</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温州职业技术学院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44"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27</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“1+X”证书制度视角下多元协同育人模式探索——以商务数据分析与应用专业为例</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杨剑钊、李文强</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义乌工商职业技术学院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28</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新时代高职专业群文化育人研究与实践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张妮佳、刘若微</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浙江经济职业技术学院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29</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行动研究:高质量发展背景下职业教育教师科研素养提升的实然选择</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杨修平</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衢州职业技术学院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17"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30</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国际标准引领下智能制造专业人才培养模式创新与实践</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吴敏、张海英、刘萍、仵健磊、林国勇</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宁波职业技术学院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31</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共同富裕背景下农村劳动力素质提升的现实困境和数字化路径</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王建枫、方玉田、徐靖颖</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32</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高职院校学生职业生涯规划教育现状与优化路径——基于对A市9982名高职学生的问卷调查分析</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苏姝</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浙江纺织服装职业技术学院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33</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“互联网+新工匠”培养大学生创新创意能力研究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陈珊珊、缪顾贤、聂爽爽、严宇婷、马艳丽</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绍兴职业技术学院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34</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差异化混合教学模式对学生学习投入的影响</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程煦</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浙江警官职业学院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26"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35</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提质培优背景下高职院校专创融合协同育人有效性研究</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徐宜宜、张赵根、王昌云、付姝兰、李晓聪</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浙江同济科技职业学院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45" w:hRule="atLeast"/>
        </w:trPr>
        <w:tc>
          <w:tcPr>
            <w:tcW w:w="8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36</w:t>
            </w:r>
          </w:p>
        </w:tc>
        <w:tc>
          <w:tcPr>
            <w:tcW w:w="36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中俄幼儿园职前教师教育课程标准比较及启示</w:t>
            </w:r>
          </w:p>
        </w:tc>
        <w:tc>
          <w:tcPr>
            <w:tcW w:w="1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5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郑庆文、孟维、周彬男</w:t>
            </w:r>
          </w:p>
        </w:tc>
        <w:tc>
          <w:tcPr>
            <w:tcW w:w="22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宁波幼儿师范高等专科学校</w:t>
            </w:r>
          </w:p>
        </w:tc>
      </w:tr>
    </w:tbl>
    <w:p>
      <w:pPr>
        <w:jc w:val="left"/>
        <w:rPr>
          <w:rStyle w:val="9"/>
          <w:rFonts w:hint="eastAsia" w:ascii="宋体" w:hAnsi="宋体" w:eastAsia="宋体" w:cs="宋体"/>
          <w:b w:val="0"/>
          <w:bCs/>
          <w:color w:val="151515"/>
          <w:sz w:val="30"/>
          <w:szCs w:val="30"/>
          <w:shd w:val="clear" w:color="auto" w:fill="FFFFFF"/>
        </w:rPr>
      </w:pPr>
    </w:p>
    <w:p>
      <w:pPr>
        <w:numPr>
          <w:ilvl w:val="0"/>
          <w:numId w:val="0"/>
        </w:numPr>
        <w:jc w:val="left"/>
        <w:rPr>
          <w:rStyle w:val="9"/>
          <w:rFonts w:ascii="宋体" w:hAnsi="宋体" w:eastAsia="宋体" w:cs="宋体"/>
          <w:b/>
          <w:bCs w:val="0"/>
          <w:color w:val="151515"/>
          <w:sz w:val="32"/>
          <w:szCs w:val="32"/>
          <w:shd w:val="clear" w:color="auto" w:fill="FFFFFF"/>
        </w:rPr>
      </w:pPr>
      <w:r>
        <w:rPr>
          <w:rStyle w:val="9"/>
          <w:rFonts w:hint="eastAsia" w:ascii="宋体" w:hAnsi="宋体" w:eastAsia="宋体" w:cs="宋体"/>
          <w:b/>
          <w:bCs w:val="0"/>
          <w:color w:val="151515"/>
          <w:sz w:val="32"/>
          <w:szCs w:val="32"/>
          <w:shd w:val="clear" w:color="auto" w:fill="FFFFFF"/>
          <w:lang w:val="en-US" w:eastAsia="zh-CN"/>
        </w:rPr>
        <w:t>二、中职</w:t>
      </w:r>
      <w:r>
        <w:rPr>
          <w:rStyle w:val="9"/>
          <w:rFonts w:hint="eastAsia" w:ascii="宋体" w:hAnsi="宋体" w:eastAsia="宋体" w:cs="宋体"/>
          <w:b/>
          <w:bCs w:val="0"/>
          <w:color w:val="151515"/>
          <w:sz w:val="32"/>
          <w:szCs w:val="32"/>
          <w:shd w:val="clear" w:color="auto" w:fill="FFFFFF"/>
        </w:rPr>
        <w:t>类</w:t>
      </w: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rPr>
        <w:t>一等奖：</w:t>
      </w:r>
      <w:r>
        <w:rPr>
          <w:rStyle w:val="9"/>
          <w:rFonts w:hint="eastAsia" w:ascii="宋体" w:hAnsi="宋体" w:eastAsia="宋体" w:cs="宋体"/>
          <w:b w:val="0"/>
          <w:bCs/>
          <w:color w:val="151515"/>
          <w:sz w:val="30"/>
          <w:szCs w:val="30"/>
          <w:shd w:val="clear" w:color="auto" w:fill="FFFFFF"/>
          <w:lang w:val="en-US" w:eastAsia="zh-CN"/>
        </w:rPr>
        <w:t>31</w:t>
      </w:r>
      <w:r>
        <w:rPr>
          <w:rStyle w:val="9"/>
          <w:rFonts w:hint="eastAsia" w:ascii="宋体" w:hAnsi="宋体" w:eastAsia="宋体" w:cs="宋体"/>
          <w:b w:val="0"/>
          <w:bCs/>
          <w:color w:val="151515"/>
          <w:sz w:val="30"/>
          <w:szCs w:val="30"/>
          <w:shd w:val="clear" w:color="auto" w:fill="FFFFFF"/>
        </w:rPr>
        <w:t>项</w:t>
      </w:r>
    </w:p>
    <w:tbl>
      <w:tblPr>
        <w:tblStyle w:val="7"/>
        <w:tblW w:w="10678" w:type="dxa"/>
        <w:tblInd w:w="-3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3"/>
        <w:gridCol w:w="3684"/>
        <w:gridCol w:w="1236"/>
        <w:gridCol w:w="2610"/>
        <w:gridCol w:w="23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序号</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成果名称</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成果类别</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作者姓名</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b/>
                <w:bCs/>
                <w:color w:val="000000"/>
                <w:kern w:val="0"/>
                <w:sz w:val="21"/>
                <w:szCs w:val="21"/>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双跨聚力·东迁赋技·西归兴业：共富背景下职业学校东西部结对帮扶的永康实践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陈超杰、夏其明、何敏佺、张志敏、方婷</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浙江省永康市职业技术学校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蜂巢理论下中职跨界融合教师创新团队的内涵、困境与路径建设</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傅卫莉</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绍兴市中等专业学校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县域中职学校乡村工匠培育的模式探究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刘柏炎、傅雨露（执笔人）、俞赵剑、黄立荣、倪超琦</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诸暨市职业教育中心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宁波市中职教师企业实践的改革创新和推进研究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陈曙东、翁豪民、张洪峰、童夙文（执笔）、傅凯</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宁波市职业技术教育学会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县域定标•产教深融•学岗直通：中职电子和信息大类专业县域产业学院育人模式创新与实践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李春锋、谢炳冲、徐京岗(执笔)、叶海鹤、吴丽洁</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瑞安市职业中等专业教育集团学校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三线三能三驱动：中职学校教师创新团队生态孵化模式的实践研究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邱世军、林峰 （执笔）、周佳、张花、吴春艳</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宁波市鄞州职业教育中心学校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8"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中职烹饪专业《冷菜冷拼制作技艺》课程思政的实践与研究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沈勤峰、刘砚耕（执笔）、林芳、周武杰、周建良</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链课堂：职教生本化“显性学习”新样态的构建</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王长辉、李双彤、张国红、徐卫民</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兰溪市教育局教研室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港口专业“长学制”实训课程体系建设研究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姚兴禄、陈磊、张志、李贤元、李旭臣</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宁波市镇海区职业教育中心学校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产教融合视角下中职旅游服务与管理专业高水平建设路径研究——以舟山旅游商贸学校为例</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丁道、杨黎、虞燕芬、张幼娜、魏君名、史佳琪</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基于产教协同“破壁垒、破难题、破瓶颈”的高技能机电人才培养新模式</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吴金龙、吴海微、胡安乐、陈阿友、陈志磊、吴应辉</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乐清市虹桥职业技术学校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数字赋能、二元五环、三段双步服装专业链式精品课程开发应用创新实践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姚律、陆佳、张晓燕</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四链融合·五步共进：中职机电高水平专业建设的实践研究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马林刚、胡桂兰、王金虎、李夕兰、陈窕</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浙江省永康市职业技术学校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基于世赛标准的技工院校酒店接待人才培养的现实向度与行动路径探究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丁文琼、朱金堂、徐妍</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绍兴市职业教育中心（绍兴技师学院）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新兴产业引领下的“三梯进阶”职教共同体办学新业态探索</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张伟、吴国献、梁春龙、童普军</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浙江省机电技师学院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4"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五阶共进 校企共生：订单式轨道交通人才培养生态的探索与实践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王姬、潘波、宋志强（执笔）、王帆、董莉莉</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宁波市职业技术教育中心学校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三融学堂：中职教师研修“共生场”的构建与实施</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徐卫民、张国红、李双彤（执笔）、王长辉、管志文</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兰溪市职业中等专业学校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职业学校教师数字化转型的名师工作室行动研究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成佳梁、冯国英、赵菲菲、朱海燕、杨晓伟</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义乌市教育研修院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数字链接˙重塑提质：中职美术鉴赏“3363”信息化教学模式的研究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胡伟建、齐日昆（执笔）、胡苏丽、楼佳、刘政敏</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新质生产力引领电气智能专业群人才供给链改革创新与实践——以无人机金牌技能型人才培养为例</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鲁晓阳、潘利荷、沈伟峰、杨勇、唐林达</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五环˙三路˙三体：指向学生成长的中职体验式生命教育课程的实践研究</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陆宗尧、陈碧晗（执笔）、王姣、林吉波、李建一</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宁波市镇海区职业教育中心学校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“三驱四维两聚焦”打造课程思政育人模式</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张建平、姜松、陈静（执笔）、钱梦琳、虞婕</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载体化 联合化 体系化 多元化 课程化 卡片化：电气行业人才储备联合培养创新实践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陈尔彪、江德绪(执笔)、陈瑜、钟大为、胡建良</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乐清市柳市职业技术学校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76"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彩虹桥˙科创中心：中职学校服务企业创新人才培养的实践研究——以浙江省乐清市虹桥职业学校实践为例</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吴海微、连晓华、宋素芬、刘叙彤、吴舒怡、朱彬娴</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乐清市虹桥职业技术学校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“超级联盟”中职烹饪教学团队服务“甬菜百碗”的探索与实践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杜浩军、仇杏梅（执笔）、李静珠、俞琳益、黄佳波</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宁波市古林职业高级中学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1"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精准帮扶 乡村振兴：共同富裕背景下中职学校帮扶小微餐旅企业的创新实践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徐健、张晓晨（执笔）、林峰、杜伟川、王兴武</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温州华侨职业中等专业学校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中职商贸类专业自螺旋式教法改革的探索与实践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傅晖、胡梦娇（执笔）、张凌燕、胡晓梦、朱佳颖</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杭州市开元商贸职业学校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产学聚变：中职数控“二维三联”项目课程的开发与应用</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郑小勇、陆黎明（执笔）、陈海斌、林珏、虞超超</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浙江省瑞安市塘下职业中等专业学校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29</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匠心传承·瓷艺辉煌：中职青瓷专业人才培养模式创新实践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戎建挺、秦名敏（执笔）、胡草丽、</w:t>
            </w:r>
            <w:r>
              <w:rPr>
                <w:rFonts w:ascii="Arial" w:hAnsi="Arial" w:eastAsia="宋体" w:cs="Arial"/>
                <w:b w:val="0"/>
                <w:bCs w:val="0"/>
                <w:i w:val="0"/>
                <w:iCs w:val="0"/>
                <w:caps w:val="0"/>
                <w:color w:val="000000"/>
                <w:spacing w:val="0"/>
                <w:sz w:val="21"/>
                <w:szCs w:val="21"/>
              </w:rPr>
              <w:t>戚柏江</w:t>
            </w:r>
            <w:r>
              <w:rPr>
                <w:rFonts w:hint="eastAsia" w:ascii="Arial" w:hAnsi="Arial" w:eastAsia="宋体" w:cs="Arial"/>
                <w:b w:val="0"/>
                <w:bCs w:val="0"/>
                <w:i w:val="0"/>
                <w:iCs w:val="0"/>
                <w:caps w:val="0"/>
                <w:color w:val="000000"/>
                <w:spacing w:val="0"/>
                <w:sz w:val="21"/>
                <w:szCs w:val="21"/>
                <w:lang w:eastAsia="zh-CN"/>
              </w:rPr>
              <w:t>、</w:t>
            </w:r>
            <w:r>
              <w:rPr>
                <w:rFonts w:hint="eastAsia" w:ascii="宋体" w:hAnsi="宋体" w:eastAsia="宋体" w:cs="宋体"/>
                <w:i w:val="0"/>
                <w:iCs w:val="0"/>
                <w:color w:val="000000"/>
                <w:kern w:val="0"/>
                <w:sz w:val="22"/>
                <w:szCs w:val="22"/>
                <w:u w:val="none"/>
                <w:lang w:val="en-US" w:eastAsia="zh-CN" w:bidi="ar"/>
              </w:rPr>
              <w:t>陈迪波、邵雅婷</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慈溪职业高级中学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0"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30</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传统文化、革命文化和先进文化语文网络同步课程开发与实践</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杨峰明、杨育萍（执笔）、宋佩芬、沈晓峰、水琳琳</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浙江信息工程学校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8" w:hRule="atLeast"/>
        </w:trPr>
        <w:tc>
          <w:tcPr>
            <w:tcW w:w="8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31</w:t>
            </w:r>
          </w:p>
        </w:tc>
        <w:tc>
          <w:tcPr>
            <w:tcW w:w="368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基于良小匠孵化场的烹饪专业产教融合育人实践探索</w:t>
            </w:r>
          </w:p>
        </w:tc>
        <w:tc>
          <w:tcPr>
            <w:tcW w:w="12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朱丹、贺建谊、孙伟民、周佳辉</w:t>
            </w:r>
          </w:p>
        </w:tc>
        <w:tc>
          <w:tcPr>
            <w:tcW w:w="2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杭州市良渚职业高级中学</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lang w:val="en-US" w:eastAsia="zh-CN"/>
        </w:rPr>
        <w:t>二</w:t>
      </w:r>
      <w:r>
        <w:rPr>
          <w:rStyle w:val="9"/>
          <w:rFonts w:hint="eastAsia" w:ascii="宋体" w:hAnsi="宋体" w:eastAsia="宋体" w:cs="宋体"/>
          <w:b w:val="0"/>
          <w:bCs/>
          <w:color w:val="151515"/>
          <w:sz w:val="30"/>
          <w:szCs w:val="30"/>
          <w:shd w:val="clear" w:color="auto" w:fill="FFFFFF"/>
        </w:rPr>
        <w:t>等奖：</w:t>
      </w:r>
      <w:r>
        <w:rPr>
          <w:rStyle w:val="9"/>
          <w:rFonts w:hint="eastAsia" w:ascii="宋体" w:hAnsi="宋体" w:eastAsia="宋体" w:cs="宋体"/>
          <w:b w:val="0"/>
          <w:bCs/>
          <w:color w:val="151515"/>
          <w:sz w:val="30"/>
          <w:szCs w:val="30"/>
          <w:shd w:val="clear" w:color="auto" w:fill="FFFFFF"/>
          <w:lang w:val="en-US" w:eastAsia="zh-CN"/>
        </w:rPr>
        <w:t>53</w:t>
      </w:r>
      <w:r>
        <w:rPr>
          <w:rStyle w:val="9"/>
          <w:rFonts w:hint="eastAsia" w:ascii="宋体" w:hAnsi="宋体" w:eastAsia="宋体" w:cs="宋体"/>
          <w:b w:val="0"/>
          <w:bCs/>
          <w:color w:val="151515"/>
          <w:sz w:val="30"/>
          <w:szCs w:val="30"/>
          <w:shd w:val="clear" w:color="auto" w:fill="FFFFFF"/>
        </w:rPr>
        <w:t>项</w:t>
      </w:r>
    </w:p>
    <w:tbl>
      <w:tblPr>
        <w:tblStyle w:val="7"/>
        <w:tblW w:w="10693" w:type="dxa"/>
        <w:tblInd w:w="-30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46"/>
        <w:gridCol w:w="3695"/>
        <w:gridCol w:w="1228"/>
        <w:gridCol w:w="2659"/>
        <w:gridCol w:w="226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序号</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成果名称</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成果类别</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作者姓名</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基于B-MAP模式的中职教师专业成长峰值体验实践探索——以“杭派教法”基地校为例</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齐云飞、包胡凌泰、杜国平、魏伊莉、鲁锦芳、翟莉莉</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2"/>
                <w:sz w:val="24"/>
                <w:szCs w:val="24"/>
                <w:u w:val="none"/>
                <w:lang w:val="en-US" w:eastAsia="zh-CN" w:bidi="ar-SA"/>
              </w:rPr>
            </w:pPr>
            <w:r>
              <w:rPr>
                <w:rFonts w:hint="eastAsia" w:ascii="宋体" w:hAnsi="宋体" w:eastAsia="宋体" w:cs="宋体"/>
                <w:i w:val="0"/>
                <w:iCs w:val="0"/>
                <w:color w:val="000000"/>
                <w:kern w:val="0"/>
                <w:sz w:val="22"/>
                <w:szCs w:val="22"/>
                <w:u w:val="none"/>
                <w:lang w:val="en-US" w:eastAsia="zh-CN" w:bidi="ar"/>
              </w:rPr>
              <w:t>杭州市闲林职业高级中学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四链衔接——创新石雕工艺专业产教融合的实践研究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徐艺倩、潘科峰、白雪梅、杨梦霞、凌万里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青田县职业技术学校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目标引领 课程融合 活动驱动 评价赋能：中职学校劳动教育的创新与实践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王健、单琪奇、范青波、田雪丹、胡伟杰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慈溪技师学院（慈溪杭州湾中等职业学院）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三“站”合一˙三“立”沉浸˙三“元”成像：中职戏曲教改探索与创新实践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黄威、徐春梅（执笔）、蔡晓秋、王恒心、朱瑚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温州市职业中等专业学校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生态云课堂：数智化实训教学个性化培养匠能型人才路径探索</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朱建、林慧杰、黄玮尔、周小峰、杨盈盈</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“融合共生”：中职学校文化育人的新生态构建与实施</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娄静娴、夏嘉平、宋雨桐</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杭州市旅游职业学校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三方协同˙三链旋进：新时代县域中职教师课程思政跨界融合研训的创新实践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祝朝映、梅海江、徐柏林、姚萍、董伟英</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余姚市教育局职成教教研室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基于专项人才定制的中职服装专业课程改革创新与实践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郑娟、陆黎慧（执笔）、吴佳、袁贞</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浙江省湖州艺术与设计学校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工坊跨界 产教深融 科教联动：基于学科交叉融合的新农人培养模式创新与实践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宋海浩、何运峰、姚子龙（执笔）、夏一天、张洁</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宁波市北仑职业高级中学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基于产教融合背景下“12345“一体化人才培养的实践研究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肖福文、吴亮亮、王雅雅、徐雯君</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嘉兴市交通学校（嘉兴交通技工学校）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四维三径：行走共富课堂范式研究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贾继冬</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柯桥区教育体育局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集群聚能 五链融通——农村中职专业工作室集群全面赋能乡村振兴的实践探索</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陶培聪、王明强（执笔）、朱寅、许灼灼、谢坚</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余姚市第四职业技术学校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3"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“标准指引˙课岗合一˙样态革新˙建用并重”中职机械类课程资源建设的创新与实践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课题调研报告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顾淑群、徐敏、刘国柱（执笔）、胡凌冰、李国庆</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宁波市职业技术教育学会</w:t>
            </w:r>
          </w:p>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宁波市鄞州职业教育中心学校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14</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微共体：中职产教融合策略研究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邬磊磊、宁盈盈(执笔)、陈双艺、林益娜、周宏伟</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宁波市北仑职业高级中学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15"/>
                <w:lang w:val="en-US" w:eastAsia="zh-CN" w:bidi="ar"/>
              </w:rPr>
              <w:t>基于现代产业学院的县域中职学校“院校企”一体化育人模式探索</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15"/>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1"/>
                <w:szCs w:val="21"/>
                <w:u w:val="none"/>
                <w:lang w:val="en-US" w:eastAsia="zh-CN" w:bidi="ar"/>
              </w:rPr>
              <w:t>姚雁</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群雁归巢：职校雁阵型教学团队“群雁齐飞”生长样态研究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潘云杰、李俊、李海青、许晓峰、韩跃军</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海盐县理工学校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“双精准”育人视域下产教融合实训基地发展机制构建与育人实践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蔡立锋、许云珍、董其炜、谢志平、欧才学</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浙江交通技师学院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18</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“三融˙五共˙三创”——依托校园工作室精准培养高技能人才</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严雄飞、姜建华、江秀珍、郑慧萍、郑苗秀</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衢州市工程技术学校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19</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文化赋能：地方特产包装内涵提升的创新实践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伍建辉（执笔）、林芳、杨宇琳、马震、史晶晶</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宁波建设工程学校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20</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15"/>
                <w:lang w:val="en-US" w:eastAsia="zh-CN" w:bidi="ar"/>
              </w:rPr>
              <w:t>四方聚力 和润同行：新疆中职班“反哺”行动研究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Style w:val="15"/>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1"/>
                <w:szCs w:val="21"/>
                <w:u w:val="none"/>
                <w:lang w:val="en-US" w:eastAsia="zh-CN" w:bidi="ar"/>
              </w:rPr>
              <w:t>蔡立柱、孟彬彬、汤芬霞、裘碧红、吴英姿</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一地共生、一体贯通、一班两制——智能制造高技能人才在地化培育实践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杨帆、颜申君、吴德章、徐敬东、姚朝霞</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玉环市中等职业技术学校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课程思政视域下的数学文化教育策略探究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王柳娟、刘美、王碧瑶、郑秀、龚建波</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云和县中等职业技术学校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文化自信视域下中药专业“活态传承”育人路径</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姚婷、沈孝丽、金晓董、罗靖</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海宁卫生学校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24</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行中职使命，助养老发展：浙江省中职护生志愿参与机构养老护理的调查及其影响因素分析</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俞莉、周宁（执笔）、周溢彪、石佳茹、应坚婷</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绍兴护士学校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25</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中职数学学困生转化与提升的“登山实践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朱明星、王建军（执笔）、郑江林、郑利梅、赖丽琴</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26</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校企资源共建  成效导向评价 智能课堂交互：SEC-PSST新型教学空间的建设与应用</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雷锦晶、朱丽佳（执笔）、沈霖锋、张庆才、朱汉楼</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湖州交通学校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27</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四驱共振·五维同频：中职学校服务乡村振兴的“艺术乡建+”人才培养实践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蔡伟峰、齐日昆（执笔）、虞博涵、胡苏丽、周岳军</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缙云县工艺美术学校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28</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组团·订制·共富：中职学校东西部教育协作的“东旅实践”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金立峰、张良斌、史锴、陈引芳、郑敏（执笔）</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宁波东钱湖旅游学校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(宁波东钱湖护理学校)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29</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“晴耕雨读”农耕文化劳动教育探究与实践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庄丽勤(执笔)、梁丽昕、沈雪娟、邱良、金玉炎</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湖州市现代农业技术学校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30</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新业态新模式下湖州市财经商贸专业大类数字商科人才培养模式的探索与实践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谢佳芳(执笔）、潘乐威、余奇、宋海鸥、张韵茜、李晓琳</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湖州市职业教育与成人教育研究中心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基于产教融合的中职专业课“研学项目”构建与实践研究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许超英、蒋海波、张凤凤、杨明、赵峰程</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杭州市富阳区职业教育中心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技术解码 研创孪生 层级认定——专产融合打造服务创新型智能制造教师队伍的路径创新</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周超、姚丽（执笔）、郑桂明、黄祥、陆斌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杭州市临平职业高级中学（杭州市临平技工学校）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动商理论下以手球为媒介的中职体育创新育人机制研究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孙英俊、谷亨利、俞冬君、欧阳中香（执笔）、罗利娟、朱斌斌</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34</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151515"/>
                <w:kern w:val="0"/>
                <w:sz w:val="22"/>
                <w:szCs w:val="22"/>
                <w:u w:val="none"/>
                <w:lang w:val="en-US" w:eastAsia="zh-CN" w:bidi="ar"/>
              </w:rPr>
              <w:t>产教融合视域下中职港口物流“双螺旋”高素养劳动者培育的实践路径</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151515"/>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151515"/>
                <w:kern w:val="0"/>
                <w:sz w:val="22"/>
                <w:szCs w:val="22"/>
                <w:u w:val="none"/>
                <w:lang w:val="en-US" w:eastAsia="zh-CN" w:bidi="ar"/>
              </w:rPr>
              <w:t>吴科杰、宋冠赟、张艳、贺艳、王燕凤</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宁波市北仑区教研室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35</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乡村振兴共富背景下宁波高素质农民培训的现状调查与分析</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调研报告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董祖浩、张意君、汤海明、胡家臣、杨波</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宁波市职业与成人教育学院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36</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德国“双元制”职教模式本土化实践的研究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王赟、谢默、焦述艳、李涛、何呈娟</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嘉兴技师学院（浙江科技工程学校）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37</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共建·共育·共营：校企视域下研学型农场开发与运营研究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赵樱俊、张旭、段菲、邵泽城、赵加鑫</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杭州市临平职业高级中学（杭州市临平技工学校）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38</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中高企一体复合型服装人才培养的创新与实践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李丽华、吴毓、陈红芳、陈银燕、周旭娃</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杭州市萧山区第三中等职业学校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39</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基于校企共同体的职业院校人才培养模式的价值、内涵与特征</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陈秀丹</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温州华侨职业中等专业学校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40</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彰显地域特色的中职校园文化系统建设路径的实践研究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朱晓明、朱峥艳（执笔）、朱承辉、曹建锋、林霞琴</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积极心理学导向下中职校德育微动力视角的实效性研究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姜晓明、钟春明、彭津涛、刘靓、文语晗</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遂昌县职业中等专业学校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破壁˙搭台˙赋能——共富视域下电商人才培养路径的实践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齐岩、曾善群、于博、徐慧萍、朱美芬</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浙江省衢州理工学校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深化“三对接三融合三维度”，探索面向山区技能共富“本地化”定向培养模式</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叶云汉、朱镇、舒伟红、朱静、刘巧霞</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缙云县职业中等专业学校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44</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双核引领 纵横贯通 跨界融合：中职教师团队建设的实践与研究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周浩、蒋慧新、何全民、王善讨、祝小雅</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衢州中等专业学校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45</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思想破冰，课堂突围，走向专题教学深处——以“劳模精神工匠精神作品研读”为例</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陈静</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46</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“沉浸式 智能化 共享型”：中职航海产教融合实训基地建设研究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袁峻、黄玥、范名玉、张玉来</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舟山航海学校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47</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基于“岗课赛证”融合的中职焊接技能实训课程实践与探索</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学术论文</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张娟、郑光辉、方思超、郭磊、包琼琼</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三门县职业中等专业学校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7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48</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聋校追复和重塑湖州羽毛扇文化空间的路径设计与实践研究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徐小军、陈娟红、曹利芬、张玉敏</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湖州市教育康复学校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3"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49</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县域职校助力乡村振兴的模式构建与校本策略研究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郑江林、王垄巍、毛丽水、郑利燕、郑利梅</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浙江省衢州第二中等专业学校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50</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新课改下运用“标准化”教学提升课堂教学效率的实践研究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周建良、顾萌（执笔）、强震飞、陆志方、周武杰</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51</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承包·联产·责任：中职涉农专业教师教学创新团队的实践研究</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林慧、章海丽、袁丽君</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绍兴财经旅游学校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52</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基于柯氏四级评估的老年照护培训模式构建与实践</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周桂兰、俞莉、寿菲、周溢彪、周宁、周玉玲</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绍兴护士学校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7" w:hRule="atLeast"/>
        </w:trPr>
        <w:tc>
          <w:tcPr>
            <w:tcW w:w="84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53</w:t>
            </w:r>
          </w:p>
        </w:tc>
        <w:tc>
          <w:tcPr>
            <w:tcW w:w="369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UIES视域下市场营销专业中高职一体化人才培养模式创新与实施</w:t>
            </w:r>
          </w:p>
        </w:tc>
        <w:tc>
          <w:tcPr>
            <w:tcW w:w="12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卢干、王贤君、楼江明、虞明花、雷鸣、邓玉荣</w:t>
            </w:r>
          </w:p>
        </w:tc>
        <w:tc>
          <w:tcPr>
            <w:tcW w:w="226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浙江省东阳市职业教育中心学校</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lang w:val="en-US" w:eastAsia="zh-CN"/>
        </w:rPr>
        <w:t>三</w:t>
      </w:r>
      <w:r>
        <w:rPr>
          <w:rStyle w:val="9"/>
          <w:rFonts w:hint="eastAsia" w:ascii="宋体" w:hAnsi="宋体" w:eastAsia="宋体" w:cs="宋体"/>
          <w:b w:val="0"/>
          <w:bCs/>
          <w:color w:val="151515"/>
          <w:sz w:val="30"/>
          <w:szCs w:val="30"/>
          <w:shd w:val="clear" w:color="auto" w:fill="FFFFFF"/>
        </w:rPr>
        <w:t>等奖：</w:t>
      </w:r>
      <w:r>
        <w:rPr>
          <w:rStyle w:val="9"/>
          <w:rFonts w:hint="eastAsia" w:ascii="宋体" w:hAnsi="宋体" w:eastAsia="宋体" w:cs="宋体"/>
          <w:b w:val="0"/>
          <w:bCs/>
          <w:color w:val="151515"/>
          <w:sz w:val="30"/>
          <w:szCs w:val="30"/>
          <w:shd w:val="clear" w:color="auto" w:fill="FFFFFF"/>
          <w:lang w:val="en-US" w:eastAsia="zh-CN"/>
        </w:rPr>
        <w:t>82</w:t>
      </w:r>
      <w:r>
        <w:rPr>
          <w:rStyle w:val="9"/>
          <w:rFonts w:hint="eastAsia" w:ascii="宋体" w:hAnsi="宋体" w:eastAsia="宋体" w:cs="宋体"/>
          <w:b w:val="0"/>
          <w:bCs/>
          <w:color w:val="151515"/>
          <w:sz w:val="30"/>
          <w:szCs w:val="30"/>
          <w:shd w:val="clear" w:color="auto" w:fill="FFFFFF"/>
        </w:rPr>
        <w:t>项</w:t>
      </w:r>
    </w:p>
    <w:tbl>
      <w:tblPr>
        <w:tblStyle w:val="7"/>
        <w:tblW w:w="10658" w:type="dxa"/>
        <w:tblInd w:w="-2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829"/>
        <w:gridCol w:w="3690"/>
        <w:gridCol w:w="1225"/>
        <w:gridCol w:w="2641"/>
        <w:gridCol w:w="227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56"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序号</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成果名称</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成果类别</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作者姓名</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09"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“真枪˙实战”锻造——基于引企驻校的汽车专业“四构建新”技能人才培养九年实践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张科锋、章佳、孙海涛、虞勤超、吴敏伟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嘉善信息技术工程学校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微表情˙智捕捉：引入Matlab图像识别技术赋能数智育苗的实践创新</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蔡宁昊、夏嘉平、陈威民、谢维瑾、周维</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杭州市旅游职业学校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大健康背景下中职护理专业人才身心双护培养模式的实践研究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杨海如、郁俏静（执笔）、张良斌、李兆晶、章颖</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宁波东钱湖旅游学校</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(宁波东钱湖护理学校)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中职财会专业“2544”业财融合课程的开发与实施</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张卫娥（执笔）、朱灵芝、陈芝懿、章华南</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宁波海洋职业技术学校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三段相接·三边互联：中职学校家校共育模式创新研究报告</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陆雅平、朱梦泽、徐斌彧、顾君、陆琦冰</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现代职业教育体系下技师学院办学定位研究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唐锡军、姜力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浙江公路技师学院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立足岗位、学思结合，双线并育—中职《商务助理综合实训》新型活页教材的开发研究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姚红惠、陈瑛、王浩、林朝阳、许淑钰</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宁波经贸学校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聚焦职业适应性，打造“成长会客厅”协同育人德育模式</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虞杰（执笔）、诸鑫鑫（执笔）、朱晖、朱爱玲、陈文灏</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宁波市古林职业高级中学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点线面体：产教融合背景下“四室共建”要素构成实践研究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焦述艳、钱琴梅、王绅宇、王赟、孙伟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嘉兴技师学院（浙江科技工程学校）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品牌引领 四坊驱动 ：思政引领下非遗技艺传承创新探索与实践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孙华、张益女、吴淑娟、田媛、邬仁亚</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慈溪锦堂高级职业中学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三测·双线·四评：中职学校全面提升学生体质健康水平的经贸探索</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陈平、马恺、朱阳、庞孝通、余慧娟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宁波经贸学校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1+X证书制度中的X证书推广：理念、挑战与策略</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江民鑫</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宁波经贸学校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产教融合背景下中职药剂专业人才培养“校院交替”模式的实践研究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徐嘉成、任斌、沈秋云、韩晓华、徐璐</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湖州中等卫生专业学校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数字化背景下中职在线课程资源的开发与应用</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徐狄琼、王含楚、张艳、张劼、周璐、徐亮</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产教同频 资源贯通 岗课联动：中职家具专业现场工程师培养模式的构建与实践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王林玉、周丰（执笔）、姜金英、邵浩剑、王泫予</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浙江省衢州第二中等专业学校（原名江山中等专业学校）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三阶三维三制：创新中职服装专业中高职一体化特色课程的实践研究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陈佳、葛琳娜、李丽华、胡国寅</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杭州市萧山区第三中等职业学校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1"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一理念两平台三教改四对接：产教融合视域下高水平机电专业群建设路径优化策略研究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宣国强、赵梓妤、俞琼超、卢伟杰、杨波、金刚强</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诸暨技师学院（原名诸暨市实验职业技术学校）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27"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以食浸润˙四护育人˙专技融合——以学前儿童膳食与营养照护为例的新型保育师的培养与实践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胡慧珍、李碧荷（执笔）、廖晓丽、陈澄、王利平</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文化渗透˙学科交互˙素养提升：中职烹饪“杭韵儒厨”人才培养背景下传统文化育人路径探索与实践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唐林达、樊琰（执笔）、程浒、何晓微、刘文娟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杭州市中策职业学校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中职机械技能实训课程分层走班制教学的实践研究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葛学云、孙立荣、赵超、戴玮、王基力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宁海县第一职业中学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指向劳动素养的瓯菜博物馆课程建设研究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胡进盛、潘璐（执笔）、叶超程、周晓远、周雄</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温州市瓯海职业中专集团学校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基于学生发展视角的工程造价专业中高职一体化评价体系建构与实践研究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祁黎、冯梦梦、章诗惠、张英、姜珂</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绍兴市职业教育中心（绍兴技师学院）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中职教育教师教学创新团队的现实困惑、逻辑机理与实施路径</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李静亚、陈超杰、吕盈莹</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浙江省永康市职业技术学校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产教融合视域下企业新型学徒制的研究与实践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郑光辉、郑晓、黄晓、戴明权、王伟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三门县职业中等专业学校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一线两环三机制：中职学校整体性推进教师信息化教学能力的策略研究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姚志恩、周丽英、邬锐凡、宋涛、徐斌</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体系互通 转换衔接 端口前移——宁波市域职普融通育人机制的十年改革实践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李建波、陈曙东、林如军、吴勇、杨飞、戴则宇</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宁波市职业与成人教育学院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RIGHT：课程思政视域下中职英语教学模型创设与实践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翁燕华、周霞、王晓成、崔闻珊（执笔）、赵伟娟</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宁波行知中等职业学校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一核双基˙实战引擎˙三标赋能：中职全媒体运营选学班多主体育人的研究实践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郭晓锋、潘柠、沙洲峰、俞恒、何道宁</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讲好中国故事：“叙事范式”在中职英语教学中的创新应用实践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王立群、苏海亚（执笔）、於莉、薛超、朱琳</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中职高质量师资队伍“进阶助力”培养路径的创新与实践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苏海亚、朱晓明（执笔）、姚忠杰、陆益飞、朱峥艳</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7"/>
                <w:lang w:val="en-US" w:eastAsia="zh-CN" w:bidi="ar"/>
              </w:rPr>
              <w:t>一赛两院、双师共导、五台共建——中职服装专业“1225”教师教学创新团队能力提升模型的生态构建</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7"/>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1"/>
                <w:szCs w:val="21"/>
                <w:u w:val="none"/>
                <w:lang w:val="en-US" w:eastAsia="zh-CN" w:bidi="ar"/>
              </w:rPr>
              <w:t>郝红花、吴娟、吴萍、欧欣怡、柴冬梅</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多元协同理论视域下的中高职产教融合共同体建设研究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周秀霞、吴捷凯、赵明海、张晶晶</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乐清市职业中等专业学校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技术融入·三库融汇：专业视角下中职数学几何教学的实践研究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蒋点慧</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语文学习生态圈：从这里激活——基于学科融合的中职语文交互式学习的实践与研究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何梅艳、严敏霞、童建华、姜丽霞、汪思婧</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用五维量表，加强留守儿童身心健康的探索和实践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陈超英、赵广平、蔡浙松、黄丽芳、缪伟吉</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新昌技师学院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51"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基于“岗课赛证”四融合的数智装配技术课程的开发与研究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张海彪、徐雨晴、卜倩倩、楼江明、朱杰良</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浙江省东阳市职业教育中心学校（原名东阳市职业教育中心学校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培育高素养劳动者：“三三”“真”德育体系的校本实践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曾善群、廖文藏（执笔）、王华、王英、徐慧芬</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浙江省衢州理工学校（原名衢州市衢江区职业中专）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乡村讲解员“共富云旅游”培训模式实践与探究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屈凤光、许超英、徐钱、杨晓波、裘申良</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杭州市富阳区职业教育中心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“链上教育”教师“下企业”培养的实践与研究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潘红枫、许跃女（执笔）、林笑靥、祝文毅、吴赟婷</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浙江省松阳县职业中等专业学校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和合共生：瓯剧大师工作室引领下中职教师成长共同体构建的实践研究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刘胜早、陈超超（执笔）、徐春梅、陈莲莲、游小敏</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温州市瓯海职业中专集团学校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森苗计划：基于产教融合的物流中高企协同育人实施与成效分析</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陈巨政、金相旺（执笔）、季小雄、仇河坚、王玲玉</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温州市瓯海职业中专集团学校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三方联盟，国标引领，全程质保：物流中高职一体化培养模式研究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王岩、邵婧（执笔）、林娜、贺春薇、贺艳</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宁波市北仑职业高级中学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指向电商企业的中职会计人才培养的教学实践研究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邬锐凡、钱金晶（执笔）、戎静静、李诗、蒋芬芬</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浙江信息工程学校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一展多融˙三景联动˙四赏四析——中职幼儿保育专业音乐鉴赏“浸润体验式课堂”构建与实践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张中亚、郑书超、张欣、孙英俊</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杭州市闲林职业高级中学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45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3"/>
                <w:lang w:val="en-US" w:eastAsia="zh-CN" w:bidi="ar"/>
              </w:rPr>
              <w:t>“三导”引领，打造“五真”数课堂——中职数学建模教学模式</w:t>
            </w:r>
            <w:r>
              <w:rPr>
                <w:rFonts w:hint="eastAsia" w:ascii="宋体" w:hAnsi="宋体" w:eastAsia="宋体" w:cs="宋体"/>
                <w:i w:val="0"/>
                <w:iCs w:val="0"/>
                <w:color w:val="000000"/>
                <w:kern w:val="0"/>
                <w:sz w:val="22"/>
                <w:szCs w:val="22"/>
                <w:u w:val="none"/>
                <w:lang w:val="en-US" w:eastAsia="zh-CN" w:bidi="ar"/>
              </w:rPr>
              <w:t>的校本探索</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周蓉</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宁波建设工程学校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新课标视域下中职语文教学培养学生职业关键能力的探究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朱维娟（执笔）、李志强、陈琳、陈静、倪亮杰</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衢江职业教育“五˙五”改革的探索与实践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刘小康、徐慧芬（执笔）、郑国友、张东晨、毛紫荆</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浙江省衢州理工学校（原名衢州市衢江区职业中专）</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中职思政体验式教育中心建设的研究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朱勤、林后闯、倪中勇、陈柄蓉、方玉芬</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三门县职业中等专业学校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基于“产教共同体”的中职新能源汽修专业三教改革研究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严佩佩、傅冬勇、叶永平、刘剑</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长兴县职业技术教育中心学校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技艺图谱+研学+文创：非遗项目新传人培养机制的改革与实践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张华伟、邓玉荣、楼江明</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浙江省东阳市技术学校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进阶式学习：中职制图课堂教学改革的实践研究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叶辉、余启伟、方旭磊、徐文龙、朱彬塬</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金华市第一中等职业学校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rFonts w:hint="eastAsia" w:ascii="宋体" w:hAnsi="宋体" w:eastAsia="宋体" w:cs="宋体"/>
                <w:sz w:val="22"/>
                <w:szCs w:val="22"/>
                <w:lang w:val="en-US" w:eastAsia="zh-CN" w:bidi="ar"/>
              </w:rPr>
              <w:t>基于“农遗”背景下的高水平专业建设、技艺传承和匠心培育的路径研究与实践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Style w:val="18"/>
                <w:rFonts w:hint="eastAsia" w:ascii="宋体" w:hAnsi="宋体" w:eastAsia="宋体" w:cs="宋体"/>
                <w:sz w:val="22"/>
                <w:szCs w:val="22"/>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曹荐科、范寿鹏、余西良、陈敏、潘媛媛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庆元县职业高级中学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工匠精神背景下的“三阶段六环节”实训教学研究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许跃女、潘红枫（执笔）、叶刘伟、尹金波、程靖宇</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浙江省松阳县职业中等专业学校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54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以智提质：中职“数智赋能、梯式递进”技能教学模式的实践研究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王浙、陆益飞、简海华、沈松良、沈琪</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汽车维修与运用专业产教融合与校企合作多元评价体系构建—以嵊州市职业教育中心为例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调研报告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张义军、周豪波、姚新兵、史训超、叶阳春</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嵊州市职业教育中心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工学结合模式下中职生工匠精神培育的探索与实践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陆溪、王健、丁洁、冯佳男、陈剑</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慈溪技师学院（慈溪杭州湾中等职业学院）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校家社协同：“创˙生”视域下的劳动教育新样态实践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朱瑚、王丁丁（执笔）、邱旭光、任素芳、张敬祥</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温州市职业中等专业学校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双融·三创：《数控综合加工技术》课程创新开发实践研究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徐炜、陆佳浩、章东斌、金江、华祖荣</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学习在场：指向“三融渐进”的中职语文阅读“生长式课堂”构建与实施研究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吴宇宏</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海盐县商贸学校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“红+专”并进：民办中职学校“双培养”路径研究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汤美娟、陆雅平、柴海燕、徐劼、史源</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嘉兴市秀水中等专业学校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8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61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电子商务专业课程思政的深化策略与落实路径</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赵菲菲、成佳梁、毛晶晶</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义乌市城镇职业技术学校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跨界˙重构˙创生：区域特色校本课程开发与实践探索——以《遇见诸暨红色基地》为例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潘波永、楼苗锦、郑杨洁、许白梅、仓盛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诸暨市职业教育中心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中职创新创业教育赋能教育现代化建设—共同富裕实践经验研究和对策研究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朱雄志、龚俊、苏建秀、江利增、吴飞燕</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衢州中等专业学校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三实一虚、虚实交替：基于VR虚拟喷涂技术构建中职涂装专业教学模式的实践研究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王哲涛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长兴县职业技术教育中心学校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山区26县跨越式发展战略中的职教人才高地建设——以常山县为例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邢美玲、方俊</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常山技工学校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三轮驱动•四阶提级：课程思政背景下《建筑识图》教学改革的探索与实践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梁艳波、傅王霞、张洁、沈俊杰、程花</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舟山航海学校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中职学生心理危机干预“三助式”自主模式研究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臧燕红、杨黎、杨波、徐娟、周倩</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舟山旅游商贸学校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双线并轨、四构加持：中职数学与创业教育耦合的探索</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张明文、蒋振世、梁钢、王勇杰、潘玲芝、吴郑浩</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温岭市职业中等专业学校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两基提质·积分赋能˙能力认证——构建“1+6+X”四级进阶式“双师”教师队伍培育体系</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沈锋、李波</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绍兴市上虞区职业中等专业学校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中职物流“仓储”课程“四融双式”教学改革实践探究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吕芸、商磊、夏洪旺、吴雅婷、胡旭丰</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湖州交通学校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融合˙多元˙精准：服务大健康培育临床护理人才核心素养的创新实践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胡浓浓、关霞、王毓红</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湖州中等卫生专业学校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嫁接˙重构˙合成：旅游专业“1+N”社团组群培育模式研究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徐春燕、张良斌、黄芳（执笔）、楼帆、钟美君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宁波东钱湖旅游学校</w:t>
            </w:r>
          </w:p>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(宁波东钱湖护理学校)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73</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匠师协同:校乡共育“智慧新农匠”的实践研究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袁丽君</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浙江省瑞安市农业技术学校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74</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“四层耦合·四教联动”学生职业行动能力培育模式的实践路径——以宁波第二技师学院为例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程祖芳、吴旭亚、柳玖玲（执笔）、孙武</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宁波第二技师学院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75</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基于项目化学习的“在湖州看见美丽中国”农耕文化的实践研究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邱良、庄泽颖、叶芬芬、邵哲宇、沈悦峰、唐根宝</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湖州市现代农业技术学校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5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76</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五育融合 五业并举：建设县域产业学院，精准培育“五高”双贸人才的实践与研究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张华伟、王贤君、陈强、楼江明、徐匡、虞明花</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浙江省东阳市职业教育中心学校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77</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中职幼儿教育活动设计课程融入童谣的实践研究</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雷黄慧、张长友、季时金、毛俊明、季虹</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龙泉市中等职业学校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1"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78</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职业院校学生工匠精神（素养）评价系统的建设与实践——以德清职业中专工匠精神（素养）测评系统为例</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马纪孝、宋冬冬、王颖斌、方超云、邓志民</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浙江省德清县职业中等专业学校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79</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识商˙悟商˙拓商：中职物流专业复合型人才培养的创新与实践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商磊、潘乐威（执笔）、郑欢欢、蔡红利、孙妍</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湖州交通学校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94"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80</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建构“一体三院 同生共长”技能人才培养新生态  助力共同富裕社会建设的实践与研究报告</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吴家亮、童俊杰、叶巍巍、吴金星、买买提˙沙塔尔</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景宁畲族自治县职业高级中学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33"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81</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跨界协同“六融”助推教师教学创新团队建设</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蓝红芳</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云和县中等职业技术学校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99" w:hRule="atLeast"/>
        </w:trPr>
        <w:tc>
          <w:tcPr>
            <w:tcW w:w="8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82</w:t>
            </w:r>
          </w:p>
        </w:tc>
        <w:tc>
          <w:tcPr>
            <w:tcW w:w="369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中职学校高水平专业“五金”建设创新实践</w:t>
            </w:r>
          </w:p>
        </w:tc>
        <w:tc>
          <w:tcPr>
            <w:tcW w:w="12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章悦、方荣华、周俊雯（执笔）、傅玉茹</w:t>
            </w:r>
          </w:p>
        </w:tc>
        <w:tc>
          <w:tcPr>
            <w:tcW w:w="22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浙江省衢州工商学校</w:t>
            </w:r>
          </w:p>
        </w:tc>
      </w:tr>
    </w:tbl>
    <w:p>
      <w:pPr>
        <w:jc w:val="left"/>
        <w:rPr>
          <w:rStyle w:val="9"/>
          <w:rFonts w:hint="eastAsia" w:ascii="宋体" w:hAnsi="宋体" w:eastAsia="宋体" w:cs="宋体"/>
          <w:b w:val="0"/>
          <w:bCs/>
          <w:color w:val="151515"/>
          <w:sz w:val="30"/>
          <w:szCs w:val="30"/>
          <w:shd w:val="clear" w:color="auto" w:fill="FFFFFF"/>
        </w:rPr>
      </w:pPr>
    </w:p>
    <w:p>
      <w:pPr>
        <w:numPr>
          <w:ilvl w:val="0"/>
          <w:numId w:val="0"/>
        </w:numPr>
        <w:jc w:val="left"/>
        <w:rPr>
          <w:rStyle w:val="9"/>
          <w:rFonts w:ascii="宋体" w:hAnsi="宋体" w:eastAsia="宋体" w:cs="宋体"/>
          <w:b w:val="0"/>
          <w:bCs/>
          <w:color w:val="151515"/>
          <w:sz w:val="32"/>
          <w:szCs w:val="32"/>
          <w:shd w:val="clear" w:color="auto" w:fill="FFFFFF"/>
        </w:rPr>
      </w:pPr>
      <w:r>
        <w:rPr>
          <w:rStyle w:val="9"/>
          <w:rFonts w:hint="eastAsia" w:ascii="宋体" w:hAnsi="宋体" w:eastAsia="宋体" w:cs="宋体"/>
          <w:b/>
          <w:bCs w:val="0"/>
          <w:color w:val="151515"/>
          <w:sz w:val="32"/>
          <w:szCs w:val="32"/>
          <w:shd w:val="clear" w:color="auto" w:fill="FFFFFF"/>
          <w:lang w:val="en-US" w:eastAsia="zh-CN"/>
        </w:rPr>
        <w:t>三、社区教育</w:t>
      </w:r>
      <w:r>
        <w:rPr>
          <w:rStyle w:val="9"/>
          <w:rFonts w:hint="eastAsia" w:ascii="宋体" w:hAnsi="宋体" w:eastAsia="宋体" w:cs="宋体"/>
          <w:b/>
          <w:bCs w:val="0"/>
          <w:color w:val="151515"/>
          <w:sz w:val="32"/>
          <w:szCs w:val="32"/>
          <w:shd w:val="clear" w:color="auto" w:fill="FFFFFF"/>
        </w:rPr>
        <w:t>类</w:t>
      </w: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rPr>
        <w:t>一等奖：</w:t>
      </w:r>
      <w:r>
        <w:rPr>
          <w:rStyle w:val="9"/>
          <w:rFonts w:hint="eastAsia" w:ascii="宋体" w:hAnsi="宋体" w:eastAsia="宋体" w:cs="宋体"/>
          <w:b w:val="0"/>
          <w:bCs/>
          <w:color w:val="151515"/>
          <w:sz w:val="30"/>
          <w:szCs w:val="30"/>
          <w:shd w:val="clear" w:color="auto" w:fill="FFFFFF"/>
          <w:lang w:val="en-US" w:eastAsia="zh-CN"/>
        </w:rPr>
        <w:t>14</w:t>
      </w:r>
      <w:r>
        <w:rPr>
          <w:rStyle w:val="9"/>
          <w:rFonts w:hint="eastAsia" w:ascii="宋体" w:hAnsi="宋体" w:eastAsia="宋体" w:cs="宋体"/>
          <w:b w:val="0"/>
          <w:bCs/>
          <w:color w:val="151515"/>
          <w:sz w:val="30"/>
          <w:szCs w:val="30"/>
          <w:shd w:val="clear" w:color="auto" w:fill="FFFFFF"/>
        </w:rPr>
        <w:t>项</w:t>
      </w:r>
    </w:p>
    <w:tbl>
      <w:tblPr>
        <w:tblStyle w:val="7"/>
        <w:tblW w:w="10577" w:type="dxa"/>
        <w:tblInd w:w="-262"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798"/>
        <w:gridCol w:w="3699"/>
        <w:gridCol w:w="1191"/>
        <w:gridCol w:w="2600"/>
        <w:gridCol w:w="22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63"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序号</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成果名称</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成果类别</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作者姓名</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85"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“五链五化”家校共育职校生社会与情感能力的实证研究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何青、黄百央（执笔）、孙雪红、余芳、王曼娜</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慈溪市教育局职成教教研室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美、英等发达国家的老年教育服务及启示</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钟芳</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26"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公众参与、数字赋能：构建未来社区教育资源建设新生态</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饶冠俊</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浙江省社区教育指导中心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06"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UGC视域下的未来社区学习共同体培育机制探究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胡央波</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浙江省社区教育指导中心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0"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社区老年教育教师多元角色分析</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全平</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共富背景下社区教育“四﹢”助推区域农文旅融合发展的创新实践</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乐天海</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宁波市北仑区春晓成人中等文化技术学校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2"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智能教育视阈下开放教育网上教学策略研究——基于学生的学习需求视角</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丁利娟、丁丽华、康萍、陈国珍、李学军</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浙江开放大学平湖学院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积极老龄化视域下的养教结合模式探究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沈晓宇、丁亚萍、张乐</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6"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基于需求分类理论的老年教育课程体系建设研究</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林列英</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宁波开放大学慈溪学院（慈溪市社区学院）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6"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生态美育赋能乡村社区教育发展的理路与对策</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章媛</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萧山社区学院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8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11</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家庭教育促进法实施背景下——家长教育协同模式的实践与思考</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宋永跃、宋依婷</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宁波市北仑区戚家山成人学校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12</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共同体视域下未来乡村数字化终身教育体系的构建路径</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徐建明、温蕴、卢红、孙亚、方悦昕</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丽水开放大学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13</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以“全域式”理念打造乡村振兴人才 培养“浙丽共富”品牌</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叶伟勇、温蕴、叶丽珍、卢红、方悦昕</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丽水开放大学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17" w:hRule="atLeast"/>
        </w:trPr>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14</w:t>
            </w:r>
          </w:p>
        </w:tc>
        <w:tc>
          <w:tcPr>
            <w:tcW w:w="369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新时代社区终身教育教学范式重构研究——基于具身认知理论的视角</w:t>
            </w:r>
          </w:p>
        </w:tc>
        <w:tc>
          <w:tcPr>
            <w:tcW w:w="11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陈铮、赵师红</w:t>
            </w:r>
          </w:p>
        </w:tc>
        <w:tc>
          <w:tcPr>
            <w:tcW w:w="22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上城区湖滨街道社区学校</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lang w:val="en-US" w:eastAsia="zh-CN"/>
        </w:rPr>
        <w:t>二</w:t>
      </w:r>
      <w:r>
        <w:rPr>
          <w:rStyle w:val="9"/>
          <w:rFonts w:hint="eastAsia" w:ascii="宋体" w:hAnsi="宋体" w:eastAsia="宋体" w:cs="宋体"/>
          <w:b w:val="0"/>
          <w:bCs/>
          <w:color w:val="151515"/>
          <w:sz w:val="30"/>
          <w:szCs w:val="30"/>
          <w:shd w:val="clear" w:color="auto" w:fill="FFFFFF"/>
        </w:rPr>
        <w:t>等奖：</w:t>
      </w:r>
      <w:r>
        <w:rPr>
          <w:rStyle w:val="9"/>
          <w:rFonts w:hint="eastAsia" w:ascii="宋体" w:hAnsi="宋体" w:eastAsia="宋体" w:cs="宋体"/>
          <w:b w:val="0"/>
          <w:bCs/>
          <w:color w:val="151515"/>
          <w:sz w:val="30"/>
          <w:szCs w:val="30"/>
          <w:shd w:val="clear" w:color="auto" w:fill="FFFFFF"/>
          <w:lang w:val="en-US" w:eastAsia="zh-CN"/>
        </w:rPr>
        <w:t>25</w:t>
      </w:r>
      <w:r>
        <w:rPr>
          <w:rStyle w:val="9"/>
          <w:rFonts w:hint="eastAsia" w:ascii="宋体" w:hAnsi="宋体" w:eastAsia="宋体" w:cs="宋体"/>
          <w:b w:val="0"/>
          <w:bCs/>
          <w:color w:val="151515"/>
          <w:sz w:val="30"/>
          <w:szCs w:val="30"/>
          <w:shd w:val="clear" w:color="auto" w:fill="FFFFFF"/>
        </w:rPr>
        <w:t>项</w:t>
      </w:r>
    </w:p>
    <w:tbl>
      <w:tblPr>
        <w:tblStyle w:val="7"/>
        <w:tblW w:w="10685" w:type="dxa"/>
        <w:tblInd w:w="-27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31"/>
        <w:gridCol w:w="3696"/>
        <w:gridCol w:w="1200"/>
        <w:gridCol w:w="2645"/>
        <w:gridCol w:w="23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2"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序号</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成果名称</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成果类别</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作者姓名</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1"/>
                <w:szCs w:val="21"/>
                <w:u w:val="none"/>
                <w:lang w:val="en-US" w:eastAsia="zh-CN" w:bidi="ar"/>
              </w:rPr>
            </w:pPr>
            <w:r>
              <w:rPr>
                <w:rFonts w:hint="eastAsia" w:ascii="宋体" w:hAnsi="宋体" w:eastAsia="宋体" w:cs="宋体"/>
                <w:b/>
                <w:bCs/>
                <w:color w:val="000000"/>
                <w:kern w:val="0"/>
                <w:sz w:val="21"/>
                <w:szCs w:val="21"/>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适切化·场景化·精准化：社区教育课程内容形式的重构与实践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颜灿华、陶燕燕、朱建芳、汤泽亚、胡国林</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杭州市萧山区开发区社区学校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1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2</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县级老年开放大学专业教师队伍建设路径探讨</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胡立强、章小杰</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浙江开放大学长兴学院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7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3</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体力活动水平调节大学生抑郁症状与睡眠质量的关系</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钟礼阳</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浙江开放大学临海学院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4</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大班化教学模式下老年教育声乐课教学的实践探索——以浙江老年开放大学上城学院声乐研修班为例</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周凌</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上城区笕桥街道社区学校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5</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开发“山海”资源助推“新农人”业态再发展的实践调研报告</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调研报告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郑海波、乐天海</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宁波市北仑区春晓成人中等文化技术学校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6</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依托宁波帮资源开展新庄市人教育的实践研究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严永均、许静艳、沈吉梅、陈静</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镇海区庄市成人中等文化技术学校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双元共育·课岗共融：双高背景下中职学校电类专业群人才培养体系构建的实践研究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徐京岗、吴春艳（执笔）、张再益、林峰、张花</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瑞安市锦湖社区学校</w:t>
            </w:r>
          </w:p>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宁波市鄞州职业教育中心学校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老年布艺课程开发的实践研究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王笃亮、林建强、李满强、陆建平、张昆山</w:t>
            </w:r>
          </w:p>
        </w:tc>
        <w:tc>
          <w:tcPr>
            <w:tcW w:w="2313"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长兴县泗安镇成人文化技术学校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36"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校村联动：山区共富新农人培育的实践探索</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郑诗波、赵方尧</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余姚市鹿亭乡成人中等文化技术学校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4"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10</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“引</w:t>
            </w:r>
            <w:r>
              <w:rPr>
                <w:rFonts w:hint="eastAsia" w:ascii="仿宋" w:hAnsi="仿宋" w:eastAsia="仿宋" w:cs="仿宋"/>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技</w:t>
            </w:r>
            <w:r>
              <w:rPr>
                <w:rFonts w:hint="eastAsia" w:ascii="仿宋" w:hAnsi="仿宋" w:eastAsia="仿宋" w:cs="仿宋"/>
                <w:i w:val="0"/>
                <w:iCs w:val="0"/>
                <w:color w:val="000000"/>
                <w:kern w:val="0"/>
                <w:sz w:val="22"/>
                <w:szCs w:val="22"/>
                <w:u w:val="none"/>
                <w:lang w:val="en-US" w:eastAsia="zh-CN" w:bidi="ar"/>
              </w:rPr>
              <w:t>˙</w:t>
            </w:r>
            <w:r>
              <w:rPr>
                <w:rFonts w:hint="eastAsia" w:ascii="宋体" w:hAnsi="宋体" w:eastAsia="宋体" w:cs="宋体"/>
                <w:i w:val="0"/>
                <w:iCs w:val="0"/>
                <w:color w:val="000000"/>
                <w:kern w:val="0"/>
                <w:sz w:val="22"/>
                <w:szCs w:val="22"/>
                <w:u w:val="none"/>
                <w:lang w:val="en-US" w:eastAsia="zh-CN" w:bidi="ar"/>
              </w:rPr>
              <w:t>服”：培育网红乡村助力山村振兴的实践研究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柯国柱、张意君、冉艾、徐显明</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宁波市鄞州区塘溪镇成人文化技术学校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6"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礼仪教育赋能文化礼堂建设的路径研究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李冬斐</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探索“农业+”培训模式，提高乡镇“新农人”教育培训实效性——以海宁市斜桥镇为例</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吴晓华、裴新华、张振华、陈陆辉</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海宁市斜桥镇成人文化技术学校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13</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浅议乡镇共富学校建设的探索和实践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李律平、缪利忠、朱荣荣、周金金</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长兴县吕山乡成人文化技术学校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14</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互联·融合·共通：浙学通服务山区社区教育的新模式</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余媛、俞伟胜、张海越、张颖</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浦江县檀溪镇成人文化技术学校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9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学做融合：新来少数民族媳妇素质培训的实践研究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赵方尧、郑诗波（执笔）、张光耀、沈少波、戴爱娟</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余姚市鹿亭乡成人中等文化技术学校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8"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职业教育大美育课程建设路径探析</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徐莉亚</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金华开放大学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高质量发展背景下农村老年教育的实践研究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潘晓利、王琪尔、姚红、郭学群、沈慧萍</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德清县阜溪街道成人文化技术学校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18</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成人学历教育对成人发展的意义——基于学习型社会的思考</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沈明霞</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湖州市织里镇成人文化技术学校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19</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浙江省未来社区教育场景构建的研究——基于“常山未来社区儿童美育学习空间”的实践探索</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徐功富、姜莹</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浙江开放大学常山学院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20</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基于VR技术的开放大学学前教育专业教学改革策略</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虞赛赛、张娜、徐凡弟、陈依钒、吴瑶</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浙江开放大学瑞安学院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21</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杭州市上城区推进学习型城市建设的实践与展望</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项洁月、李费菲、周化胜</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上城区社区学院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22</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农村老年学校渐进式“四阶”组合课程开设的实践研究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吴爱连、董红梅</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平湖市新仓镇成人文化技术学校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23</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合力共养，共享隔代养育“祖孙乐”</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王金飞、蔡静、王艳、丁亚萍、项时敏</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台州开放大学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24</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高素质农民职业能力培养路径研究</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李广</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浙江开放大学东阳学院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7" w:hRule="atLeast"/>
        </w:trPr>
        <w:tc>
          <w:tcPr>
            <w:tcW w:w="8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25</w:t>
            </w:r>
          </w:p>
        </w:tc>
        <w:tc>
          <w:tcPr>
            <w:tcW w:w="36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高素质农民培训赋能山村振兴的实践探索</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徐显明、张意君、柯国柱、冉艾</w:t>
            </w:r>
          </w:p>
        </w:tc>
        <w:tc>
          <w:tcPr>
            <w:tcW w:w="23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宁波市鄞州区塘溪镇成人文化技术学校</w:t>
            </w:r>
          </w:p>
        </w:tc>
      </w:tr>
    </w:tbl>
    <w:p>
      <w:pPr>
        <w:jc w:val="left"/>
        <w:rPr>
          <w:rStyle w:val="9"/>
          <w:rFonts w:hint="eastAsia" w:ascii="宋体" w:hAnsi="宋体" w:eastAsia="宋体" w:cs="宋体"/>
          <w:b w:val="0"/>
          <w:bCs/>
          <w:color w:val="151515"/>
          <w:sz w:val="30"/>
          <w:szCs w:val="30"/>
          <w:shd w:val="clear" w:color="auto" w:fill="FFFFFF"/>
        </w:rPr>
      </w:pPr>
    </w:p>
    <w:p>
      <w:pPr>
        <w:jc w:val="left"/>
        <w:rPr>
          <w:rStyle w:val="9"/>
          <w:rFonts w:ascii="宋体" w:hAnsi="宋体" w:eastAsia="宋体" w:cs="宋体"/>
          <w:b w:val="0"/>
          <w:bCs/>
          <w:color w:val="151515"/>
          <w:sz w:val="30"/>
          <w:szCs w:val="30"/>
          <w:shd w:val="clear" w:color="auto" w:fill="FFFFFF"/>
        </w:rPr>
      </w:pPr>
      <w:r>
        <w:rPr>
          <w:rStyle w:val="9"/>
          <w:rFonts w:hint="eastAsia" w:ascii="宋体" w:hAnsi="宋体" w:eastAsia="宋体" w:cs="宋体"/>
          <w:b w:val="0"/>
          <w:bCs/>
          <w:color w:val="151515"/>
          <w:sz w:val="30"/>
          <w:szCs w:val="30"/>
          <w:shd w:val="clear" w:color="auto" w:fill="FFFFFF"/>
          <w:lang w:val="en-US" w:eastAsia="zh-CN"/>
        </w:rPr>
        <w:t>三</w:t>
      </w:r>
      <w:r>
        <w:rPr>
          <w:rStyle w:val="9"/>
          <w:rFonts w:hint="eastAsia" w:ascii="宋体" w:hAnsi="宋体" w:eastAsia="宋体" w:cs="宋体"/>
          <w:b w:val="0"/>
          <w:bCs/>
          <w:color w:val="151515"/>
          <w:sz w:val="30"/>
          <w:szCs w:val="30"/>
          <w:shd w:val="clear" w:color="auto" w:fill="FFFFFF"/>
        </w:rPr>
        <w:t>等奖：</w:t>
      </w:r>
      <w:r>
        <w:rPr>
          <w:rStyle w:val="9"/>
          <w:rFonts w:hint="eastAsia" w:ascii="宋体" w:hAnsi="宋体" w:eastAsia="宋体" w:cs="宋体"/>
          <w:b w:val="0"/>
          <w:bCs/>
          <w:color w:val="151515"/>
          <w:sz w:val="30"/>
          <w:szCs w:val="30"/>
          <w:shd w:val="clear" w:color="auto" w:fill="FFFFFF"/>
          <w:lang w:val="en-US" w:eastAsia="zh-CN"/>
        </w:rPr>
        <w:t>40</w:t>
      </w:r>
      <w:r>
        <w:rPr>
          <w:rStyle w:val="9"/>
          <w:rFonts w:hint="eastAsia" w:ascii="宋体" w:hAnsi="宋体" w:eastAsia="宋体" w:cs="宋体"/>
          <w:b w:val="0"/>
          <w:bCs/>
          <w:color w:val="151515"/>
          <w:sz w:val="30"/>
          <w:szCs w:val="30"/>
          <w:shd w:val="clear" w:color="auto" w:fill="FFFFFF"/>
        </w:rPr>
        <w:t>项</w:t>
      </w:r>
    </w:p>
    <w:tbl>
      <w:tblPr>
        <w:tblStyle w:val="7"/>
        <w:tblW w:w="10699" w:type="dxa"/>
        <w:tblInd w:w="-289"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45"/>
        <w:gridCol w:w="3669"/>
        <w:gridCol w:w="1241"/>
        <w:gridCol w:w="2628"/>
        <w:gridCol w:w="231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8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color w:val="000000"/>
                <w:kern w:val="0"/>
                <w:sz w:val="22"/>
                <w:szCs w:val="22"/>
                <w:lang w:bidi="ar"/>
              </w:rPr>
              <w:t>序号</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color w:val="000000"/>
                <w:kern w:val="0"/>
                <w:sz w:val="22"/>
                <w:szCs w:val="22"/>
                <w:lang w:bidi="ar"/>
              </w:rPr>
              <w:t>成果名称</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color w:val="000000"/>
                <w:kern w:val="0"/>
                <w:sz w:val="22"/>
                <w:szCs w:val="22"/>
                <w:lang w:bidi="ar"/>
              </w:rPr>
              <w:t>成果类别</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color w:val="000000"/>
                <w:kern w:val="0"/>
                <w:sz w:val="22"/>
                <w:szCs w:val="22"/>
                <w:lang w:bidi="ar"/>
              </w:rPr>
              <w:t>作者姓名</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b/>
                <w:bCs/>
                <w:color w:val="000000"/>
                <w:kern w:val="0"/>
                <w:sz w:val="22"/>
                <w:szCs w:val="22"/>
                <w:lang w:bidi="ar"/>
              </w:rPr>
              <w:t>工作单位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基于幸福邻里坊创建共学养老基地的实践研究——以杭州市上城区L共学养老基地的创建为例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王珏、黄江棋、戚亦平、蒋旭霞</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上城区笕桥街道社区学校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从“引进来”到“走出去”：乡村技能人才的培育路径与转化方式研究——以妙西镇美食项目为例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调研报告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朱春明、施建林</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湖州市妙西镇成人文化技术学校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依托老年学堂，探索“养教融合”新模式</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卢正华、殷培勇、李美琴</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长兴县雉城中心成人文化技术学校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利用自媒体开展精准培训助力高素养劳动者队伍建设的实践研究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姚红、潘晓利、王琪尔</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德清县阜溪街道成人文化技术学校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老年人数字化教学的实践与探索——以柯桥街道为例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顾淑娟</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柯桥成人文化技术学校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指向深度学习的混合式项目学习模式设计与实施</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张希明、熊邦忠</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浙江开放大学玉环学院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7</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新时代大学生法治素养培育的多维路径</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蔡笑</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萧山社区学院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8</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三业四式：成校助力乡村特色产业发展的实践路径——以溪口成校为例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徐祖平、裘利荣</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宁波市奉化区溪口镇成人文化技术学校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0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9</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乡镇成校项目式服务区域产业的路径初探</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杨国强、闻汉荣、汪永水、沈慧芬</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湖州市东林镇成人文化技术学校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10</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社区学校现代化建设中的农村文化礼堂有效利用策略研究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调研报告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郑峰、郑海波</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玉环市坎门成人文化技术学校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11</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共富视域下乡村老年教育探索辅导员制的实践与思考——浙江省成职教协会立项课题阶段性成果（以兰溪马涧镇为例）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舒鹏程、张璟（执笔）、陈英杰、成敏、周灵</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兰溪市马涧镇成人文化技术学校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12</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亲子充电站：社区家庭教育的西湖实践</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蒋晓、周小玉</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西湖区社区学院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6"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13</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未来社区 未来教师——新时代社区教育教师队伍建设的滨江样式</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来利娜</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杭州市滨江区社区学院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48"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14</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国学经典解读进文化礼堂的实践和成效</w:t>
            </w:r>
          </w:p>
        </w:tc>
        <w:tc>
          <w:tcPr>
            <w:tcW w:w="124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任红、杨乔钧</w:t>
            </w:r>
          </w:p>
        </w:tc>
        <w:tc>
          <w:tcPr>
            <w:tcW w:w="23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台州市路桥区路桥街道成人文化技术学校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15</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贴地而行 亦可起舞——校园文化建设之探索</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赵珍</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长兴县水口乡成人文化技术学校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16</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创新+品牌，培育“共富夜校”发展核</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骆智明</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柯桥成人文化技术学校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17</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曲湖乐学：智能化背景下乡村老年教育新模式探究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徐建、陶健美、徐青莉、叶礼华、刘祖森</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武义县泉溪镇成人文化技术学校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9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18</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“物质养老”转向“精神养老”的功能定位及其实践路径</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彭广才</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长兴县洪桥镇成人文化技术学校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7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eastAsia="zh-CN"/>
              </w:rPr>
            </w:pPr>
            <w:r>
              <w:rPr>
                <w:rFonts w:hint="eastAsia" w:ascii="宋体" w:hAnsi="宋体" w:eastAsia="宋体" w:cs="宋体"/>
                <w:i w:val="0"/>
                <w:iCs w:val="0"/>
                <w:color w:val="000000"/>
                <w:sz w:val="22"/>
                <w:szCs w:val="22"/>
                <w:u w:val="none"/>
                <w:lang w:val="en-US" w:eastAsia="zh-CN"/>
              </w:rPr>
              <w:t>19</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老年学堂教师队伍建设的困境及对策研究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陈荔香</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平湖市当湖街道成人文化技术学校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1"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20</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需求视域下农村老年教育发展的现状与策略探究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郑跃生</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浙江开放大学开化学院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4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21</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“社教龙芯”：基层社区教育网络化运行新模式研究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李士云、沈建荣</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余杭街道教育指导和社区教育中心学校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22</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聚焦“一老一小”，城乡未来社区教育场景建设的探索与实践</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唐文庆</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德清县舞阳街道成人文化技术学校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23</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社区教育助推居民参与移风易俗实践路径的探究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蒋建军</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长兴县洪桥镇成人文化技术学校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24</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兰溪老年群体的学养结合教育模式探究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倪彬</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兰溪市乡镇成人文化技术学校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sz w:val="22"/>
                <w:szCs w:val="22"/>
                <w:u w:val="none"/>
                <w:lang w:val="en-US"/>
              </w:rPr>
            </w:pPr>
            <w:r>
              <w:rPr>
                <w:rFonts w:hint="eastAsia" w:ascii="宋体" w:hAnsi="宋体" w:eastAsia="宋体" w:cs="宋体"/>
                <w:i w:val="0"/>
                <w:iCs w:val="0"/>
                <w:color w:val="000000"/>
                <w:kern w:val="0"/>
                <w:sz w:val="22"/>
                <w:szCs w:val="22"/>
                <w:u w:val="none"/>
                <w:lang w:val="en-US" w:eastAsia="zh-CN" w:bidi="ar"/>
              </w:rPr>
              <w:t>25</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共同富裕视阈下区域性学习型社会建设构想——基于岱山县学习型城市建设的调研</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调研报告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傅世女</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浙江开放大学岱山学院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26</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新媒体时代片域老年教育多元化教学策略的实践研究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傅志明</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杭州市萧山区东片社区学校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27</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未来学习型社区教育场景建设的路径研究——以“书香型学习社区”的“留下”样式为例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何彩琴</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西湖区社区学院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28</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“两山”背景下的农村家庭生活垃圾分类培训的实践研究——以安吉县孝丰镇为例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董正新、陈丽春、何吉丰、黄大喜、陈硕</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安吉县孝丰区域性中心成人文化技术学校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55"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浅谈中职“融合型”语文教师的培养途径</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张淑娟</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兰溪市乡镇成人文化技术学校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30</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基于成技校平台的青少年非遗文创产品设计开发策略研究——以扎染项目为例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俞国栋、程佳玲、金江美、王巧芳、蒋惠</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东阳市吴宁街道成人技术学校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31</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数字化改革视角下成人教育教学范式的初步探索</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柳章福、毛玲玲、罗凯</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青田县成人文化技术学校山口分校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3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32</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浅议“老年教育”助力“老有康养”的内在逻辑与社会效应</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傅国娣、陶瑶瑶</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绍兴开放大学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6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33</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auto"/>
                <w:kern w:val="0"/>
                <w:sz w:val="22"/>
                <w:szCs w:val="22"/>
                <w:u w:val="none"/>
                <w:lang w:val="en-US" w:eastAsia="zh-CN" w:bidi="ar"/>
              </w:rPr>
              <w:fldChar w:fldCharType="begin"/>
            </w:r>
            <w:r>
              <w:rPr>
                <w:rFonts w:hint="eastAsia" w:ascii="宋体" w:hAnsi="宋体" w:eastAsia="宋体" w:cs="宋体"/>
                <w:i w:val="0"/>
                <w:iCs w:val="0"/>
                <w:color w:val="auto"/>
                <w:kern w:val="0"/>
                <w:sz w:val="22"/>
                <w:szCs w:val="22"/>
                <w:u w:val="none"/>
                <w:lang w:val="en-US" w:eastAsia="zh-CN" w:bidi="ar"/>
              </w:rPr>
              <w:instrText xml:space="preserve"> HYPERLINK "" \l "_Toc334 " </w:instrText>
            </w:r>
            <w:r>
              <w:rPr>
                <w:rFonts w:hint="eastAsia" w:ascii="宋体" w:hAnsi="宋体" w:eastAsia="宋体" w:cs="宋体"/>
                <w:i w:val="0"/>
                <w:iCs w:val="0"/>
                <w:color w:val="auto"/>
                <w:kern w:val="0"/>
                <w:sz w:val="22"/>
                <w:szCs w:val="22"/>
                <w:u w:val="none"/>
                <w:lang w:val="en-US" w:eastAsia="zh-CN" w:bidi="ar"/>
              </w:rPr>
              <w:fldChar w:fldCharType="separate"/>
            </w:r>
            <w:r>
              <w:rPr>
                <w:rStyle w:val="10"/>
                <w:rFonts w:hint="eastAsia" w:ascii="宋体" w:hAnsi="宋体" w:eastAsia="宋体" w:cs="宋体"/>
                <w:i w:val="0"/>
                <w:iCs w:val="0"/>
                <w:color w:val="auto"/>
                <w:sz w:val="22"/>
                <w:szCs w:val="22"/>
                <w:u w:val="none"/>
              </w:rPr>
              <w:t>普职融通、亲子共学、校企共推“葫芦烙画”非遗项目传承模式的实践研究</w:t>
            </w:r>
            <w:r>
              <w:rPr>
                <w:rFonts w:hint="eastAsia" w:ascii="宋体" w:hAnsi="宋体" w:eastAsia="宋体" w:cs="宋体"/>
                <w:i w:val="0"/>
                <w:iCs w:val="0"/>
                <w:color w:val="auto"/>
                <w:kern w:val="0"/>
                <w:sz w:val="22"/>
                <w:szCs w:val="22"/>
                <w:u w:val="none"/>
                <w:lang w:val="en-US" w:eastAsia="zh-CN" w:bidi="ar"/>
              </w:rPr>
              <w:fldChar w:fldCharType="end"/>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陈建红（执笔）、袁海明</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桐庐县横村成人文化技术学校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60"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34</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终身教育视域下新时期老年人思政教育路径探索</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吴艳芳</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浙江开放大学兰溪学院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35</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基于Delphi-AHP-TOPSIS的社会实践有效性评价指标体系构建与实证研究---以村干部学历提升班为例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潘灵荣、张慧、廖长生</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浙江开放大学温岭学院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36</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数字化改革背景下海岛学习型社区场景构建研究——以舟山普陀老年教育为例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汤晶晶、徐波、章良军、陈珊珊</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浙江开放大学普陀学院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37</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社区学院教育资源助力中小学劳动教育的实践研究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庄杰、周东、林虹、郭忠跃、周日波、张燕</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沈家门街道成人文化技术学校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38</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乡土˙乡亲˙乡愁：未来乡村视域下“三乡”乡村文化培育的实践探索</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李慧娟、吴俊峰（执笔）、齐琳瑛</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桐庐县桐君成人文化技术学校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39</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区域研学助力家庭教育的研究初探——以宁波市海曙区为例</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学术论文</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施成红</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宁波市海曙区社区学院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77" w:hRule="atLeast"/>
        </w:trPr>
        <w:tc>
          <w:tcPr>
            <w:tcW w:w="8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40</w:t>
            </w:r>
          </w:p>
        </w:tc>
        <w:tc>
          <w:tcPr>
            <w:tcW w:w="366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农村拆迁安置社区居民公共意识培育的研究</w:t>
            </w:r>
          </w:p>
        </w:tc>
        <w:tc>
          <w:tcPr>
            <w:tcW w:w="12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课题研究报告</w:t>
            </w:r>
          </w:p>
        </w:tc>
        <w:tc>
          <w:tcPr>
            <w:tcW w:w="26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沈选成、周菊芳、曹珏、丁伟良、慎旭、姚琴</w:t>
            </w:r>
          </w:p>
        </w:tc>
        <w:tc>
          <w:tcPr>
            <w:tcW w:w="231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2"/>
                <w:szCs w:val="22"/>
                <w:u w:val="none"/>
                <w:lang w:val="en-US" w:eastAsia="zh-CN" w:bidi="ar"/>
              </w:rPr>
            </w:pPr>
            <w:r>
              <w:rPr>
                <w:rFonts w:hint="eastAsia" w:ascii="宋体" w:hAnsi="宋体" w:eastAsia="宋体" w:cs="宋体"/>
                <w:i w:val="0"/>
                <w:iCs w:val="0"/>
                <w:color w:val="000000"/>
                <w:kern w:val="0"/>
                <w:sz w:val="22"/>
                <w:szCs w:val="22"/>
                <w:u w:val="none"/>
                <w:lang w:val="en-US" w:eastAsia="zh-CN" w:bidi="ar"/>
              </w:rPr>
              <w:t>湖州市吴兴区环渚成人文化技术学校</w:t>
            </w:r>
          </w:p>
        </w:tc>
      </w:tr>
    </w:tbl>
    <w:p>
      <w:pPr>
        <w:widowControl/>
        <w:spacing w:line="520" w:lineRule="exact"/>
        <w:jc w:val="left"/>
        <w:rPr>
          <w:rFonts w:ascii="仿宋" w:hAnsi="仿宋" w:eastAsia="仿宋" w:cs="仿宋"/>
          <w:sz w:val="32"/>
          <w:szCs w:val="32"/>
        </w:rPr>
      </w:pPr>
    </w:p>
    <w:sectPr>
      <w:footerReference r:id="rId5" w:type="default"/>
      <w:pgSz w:w="11906" w:h="16838"/>
      <w:pgMar w:top="1440" w:right="1080" w:bottom="1440" w:left="1080" w:header="851" w:footer="992" w:gutter="0"/>
      <w:pgNumType w:fmt="decimal" w:start="1"/>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94809C14-D06C-4BF5-9C45-1C7F1D8C12B8}"/>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embedRegular r:id="rId2" w:fontKey="{EEB7CD72-9614-463C-A58F-EAAD66A54BFF}"/>
  </w:font>
  <w:font w:name="方正小标宋简体">
    <w:panose1 w:val="02000000000000000000"/>
    <w:charset w:val="86"/>
    <w:family w:val="auto"/>
    <w:pitch w:val="default"/>
    <w:sig w:usb0="00000001" w:usb1="08000000" w:usb2="00000000" w:usb3="00000000" w:csb0="00040000" w:csb1="00000000"/>
    <w:embedRegular r:id="rId3" w:fontKey="{E29DBADB-CB6E-4552-A1EE-A950128275A8}"/>
  </w:font>
  <w:font w:name="仿宋">
    <w:panose1 w:val="02010609060101010101"/>
    <w:charset w:val="86"/>
    <w:family w:val="modern"/>
    <w:pitch w:val="default"/>
    <w:sig w:usb0="800002BF" w:usb1="38CF7CFA" w:usb2="00000016" w:usb3="00000000" w:csb0="00040001" w:csb1="00000000"/>
    <w:embedRegular r:id="rId4" w:fontKey="{2079E37D-8322-4636-997F-F6D22F71BF55}"/>
  </w:font>
  <w:font w:name="微软雅黑">
    <w:panose1 w:val="020B0503020204020204"/>
    <w:charset w:val="86"/>
    <w:family w:val="swiss"/>
    <w:pitch w:val="default"/>
    <w:sig w:usb0="80000287" w:usb1="2ACF3C50" w:usb2="00000016" w:usb3="00000000" w:csb0="0004001F" w:csb1="00000000"/>
    <w:embedRegular r:id="rId5" w:fontKey="{E926BD97-BFD3-40DB-B3F3-95F146B132D3}"/>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p>
  <w:p>
    <w:pPr>
      <w:pStyle w:val="4"/>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jc w:val="center"/>
                          </w:pPr>
                          <w:r>
                            <w:fldChar w:fldCharType="begin"/>
                          </w:r>
                          <w:r>
                            <w:instrText xml:space="preserve"> PAGE   \* MERGEFORMAT </w:instrText>
                          </w:r>
                          <w:r>
                            <w:fldChar w:fldCharType="separate"/>
                          </w:r>
                          <w:r>
                            <w:rPr>
                              <w:lang w:val="zh-CN"/>
                            </w:rPr>
                            <w:t>24</w:t>
                          </w:r>
                          <w:r>
                            <w:rPr>
                              <w:lang w:val="zh-CN"/>
                            </w:rPr>
                            <w:fldChar w:fldCharType="end"/>
                          </w:r>
                        </w:p>
                      </w:txbxContent>
                    </wps:txbx>
                    <wps:bodyPr wrap="none" lIns="0" tIns="0" rIns="0" bIns="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QHJYcIBAACN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m5BoTbQ8LCpZ+MOkJNxXBKhdG0UXkNHt9L1sNftPk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">
              <v:fill on="f" focussize="0,0"/>
              <v:stroke on="f"/>
              <v:imagedata o:title=""/>
              <o:lock v:ext="edit" aspectratio="f"/>
              <v:textbox inset="0mm,0mm,0mm,0mm" style="mso-fit-shape-to-text:t;">
                <w:txbxContent>
                  <w:p>
                    <w:pPr>
                      <w:pStyle w:val="4"/>
                      <w:jc w:val="center"/>
                    </w:pPr>
                    <w:r>
                      <w:fldChar w:fldCharType="begin"/>
                    </w:r>
                    <w:r>
                      <w:instrText xml:space="preserve"> PAGE   \* MERGEFORMAT </w:instrText>
                    </w:r>
                    <w:r>
                      <w:fldChar w:fldCharType="separate"/>
                    </w:r>
                    <w:r>
                      <w:rPr>
                        <w:lang w:val="zh-CN"/>
                      </w:rPr>
                      <w:t>24</w:t>
                    </w:r>
                    <w:r>
                      <w:rPr>
                        <w:lang w:val="zh-CN"/>
                      </w:rPr>
                      <w:fldChar w:fldCharType="end"/>
                    </w:r>
                  </w:p>
                </w:txbxContent>
              </v:textbox>
            </v:shape>
          </w:pict>
        </mc:Fallback>
      </mc:AlternateContent>
    </w:r>
  </w:p>
  <w:p>
    <w:pPr>
      <w:pStyle w:val="4"/>
      <w:ind w:right="360"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ind w:left="525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hideSpellingErrors/>
  <w:hideGrammaticalErrors/>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IzMDE4YWQxZTIwYmFkZTQxZDA4MDFlMzkyZTkwNjAifQ=="/>
  </w:docVars>
  <w:rsids>
    <w:rsidRoot w:val="00FF6448"/>
    <w:rsid w:val="001C2C6F"/>
    <w:rsid w:val="001E7C6A"/>
    <w:rsid w:val="00273748"/>
    <w:rsid w:val="002A0221"/>
    <w:rsid w:val="002E0612"/>
    <w:rsid w:val="003B11F3"/>
    <w:rsid w:val="003E1602"/>
    <w:rsid w:val="004C372A"/>
    <w:rsid w:val="005F4647"/>
    <w:rsid w:val="006772E5"/>
    <w:rsid w:val="006D736D"/>
    <w:rsid w:val="007147DE"/>
    <w:rsid w:val="007B7025"/>
    <w:rsid w:val="00971A1A"/>
    <w:rsid w:val="00A43864"/>
    <w:rsid w:val="00AB6FE2"/>
    <w:rsid w:val="00B00A89"/>
    <w:rsid w:val="00B14622"/>
    <w:rsid w:val="00B46603"/>
    <w:rsid w:val="00C23008"/>
    <w:rsid w:val="00DA5E47"/>
    <w:rsid w:val="00EC594D"/>
    <w:rsid w:val="00ED13DA"/>
    <w:rsid w:val="00FF6448"/>
    <w:rsid w:val="0159110C"/>
    <w:rsid w:val="030E1AB2"/>
    <w:rsid w:val="03AD764F"/>
    <w:rsid w:val="0554654E"/>
    <w:rsid w:val="05E14D9D"/>
    <w:rsid w:val="074F2F9E"/>
    <w:rsid w:val="08C416C3"/>
    <w:rsid w:val="097E5D15"/>
    <w:rsid w:val="0AE31BA0"/>
    <w:rsid w:val="0C6376AC"/>
    <w:rsid w:val="0CC520B1"/>
    <w:rsid w:val="0D6B328F"/>
    <w:rsid w:val="0E405210"/>
    <w:rsid w:val="0E4859C4"/>
    <w:rsid w:val="0E4C412A"/>
    <w:rsid w:val="0FB47FE8"/>
    <w:rsid w:val="1125525D"/>
    <w:rsid w:val="12A916CA"/>
    <w:rsid w:val="13E8587F"/>
    <w:rsid w:val="14220022"/>
    <w:rsid w:val="14A43221"/>
    <w:rsid w:val="14E0745C"/>
    <w:rsid w:val="150D743F"/>
    <w:rsid w:val="1631337C"/>
    <w:rsid w:val="16925159"/>
    <w:rsid w:val="17211849"/>
    <w:rsid w:val="176D5316"/>
    <w:rsid w:val="17853981"/>
    <w:rsid w:val="17B45B7B"/>
    <w:rsid w:val="188C387F"/>
    <w:rsid w:val="18E24A74"/>
    <w:rsid w:val="190E56CF"/>
    <w:rsid w:val="193277BF"/>
    <w:rsid w:val="193E1025"/>
    <w:rsid w:val="1A81410A"/>
    <w:rsid w:val="1B332996"/>
    <w:rsid w:val="1E0D19BE"/>
    <w:rsid w:val="1E380731"/>
    <w:rsid w:val="1E4A1AE4"/>
    <w:rsid w:val="1FBB3F92"/>
    <w:rsid w:val="1FF6427B"/>
    <w:rsid w:val="2140502C"/>
    <w:rsid w:val="22196184"/>
    <w:rsid w:val="226C5E9B"/>
    <w:rsid w:val="24CA757D"/>
    <w:rsid w:val="252870E7"/>
    <w:rsid w:val="26B53D99"/>
    <w:rsid w:val="26EA68D8"/>
    <w:rsid w:val="273677D8"/>
    <w:rsid w:val="287C4664"/>
    <w:rsid w:val="28F3360A"/>
    <w:rsid w:val="293B3138"/>
    <w:rsid w:val="2A0B6CFA"/>
    <w:rsid w:val="2A0E2F17"/>
    <w:rsid w:val="2B4D7144"/>
    <w:rsid w:val="2C0C12C0"/>
    <w:rsid w:val="2C652602"/>
    <w:rsid w:val="2D550E5B"/>
    <w:rsid w:val="2E6526F9"/>
    <w:rsid w:val="2F340FD5"/>
    <w:rsid w:val="2F4C6421"/>
    <w:rsid w:val="32761D96"/>
    <w:rsid w:val="327D275F"/>
    <w:rsid w:val="33D360BC"/>
    <w:rsid w:val="34AD1ED3"/>
    <w:rsid w:val="34DF5160"/>
    <w:rsid w:val="35B51AE5"/>
    <w:rsid w:val="360062A6"/>
    <w:rsid w:val="36287CF1"/>
    <w:rsid w:val="369C2AC2"/>
    <w:rsid w:val="37064F50"/>
    <w:rsid w:val="373832D4"/>
    <w:rsid w:val="37857C71"/>
    <w:rsid w:val="38891BDC"/>
    <w:rsid w:val="39397EF6"/>
    <w:rsid w:val="39562D04"/>
    <w:rsid w:val="3A226D95"/>
    <w:rsid w:val="3A3D6F16"/>
    <w:rsid w:val="3A6A5551"/>
    <w:rsid w:val="3ADF1E3C"/>
    <w:rsid w:val="3BDF03AE"/>
    <w:rsid w:val="3C576F2F"/>
    <w:rsid w:val="3C866502"/>
    <w:rsid w:val="3DEF579D"/>
    <w:rsid w:val="3FFA1395"/>
    <w:rsid w:val="401C1679"/>
    <w:rsid w:val="42504C65"/>
    <w:rsid w:val="42A63794"/>
    <w:rsid w:val="42A9786C"/>
    <w:rsid w:val="43493FD6"/>
    <w:rsid w:val="447A08AC"/>
    <w:rsid w:val="45062140"/>
    <w:rsid w:val="454D4FC5"/>
    <w:rsid w:val="45F143B0"/>
    <w:rsid w:val="478F0B12"/>
    <w:rsid w:val="48D42E20"/>
    <w:rsid w:val="4AA62139"/>
    <w:rsid w:val="4AE179D0"/>
    <w:rsid w:val="4B02784D"/>
    <w:rsid w:val="4B5A2F6F"/>
    <w:rsid w:val="4BD002E3"/>
    <w:rsid w:val="4BD53AEB"/>
    <w:rsid w:val="4BF60937"/>
    <w:rsid w:val="4CD44745"/>
    <w:rsid w:val="4E2A4539"/>
    <w:rsid w:val="4E4A4A02"/>
    <w:rsid w:val="4FFC0D0F"/>
    <w:rsid w:val="5137640D"/>
    <w:rsid w:val="515A3F3F"/>
    <w:rsid w:val="52C72AEC"/>
    <w:rsid w:val="5426526A"/>
    <w:rsid w:val="543514CC"/>
    <w:rsid w:val="54711BDF"/>
    <w:rsid w:val="54C524D3"/>
    <w:rsid w:val="54EC0AD9"/>
    <w:rsid w:val="56FA587C"/>
    <w:rsid w:val="57181220"/>
    <w:rsid w:val="579F4BC8"/>
    <w:rsid w:val="57A910F7"/>
    <w:rsid w:val="5801655E"/>
    <w:rsid w:val="58C13C94"/>
    <w:rsid w:val="59430A18"/>
    <w:rsid w:val="596079D9"/>
    <w:rsid w:val="5A17772D"/>
    <w:rsid w:val="5A74572B"/>
    <w:rsid w:val="5B533E08"/>
    <w:rsid w:val="5CC22769"/>
    <w:rsid w:val="5F9C1039"/>
    <w:rsid w:val="602C67F9"/>
    <w:rsid w:val="603F5885"/>
    <w:rsid w:val="605E1C6C"/>
    <w:rsid w:val="61933F99"/>
    <w:rsid w:val="622231B2"/>
    <w:rsid w:val="625422E5"/>
    <w:rsid w:val="63AE78D4"/>
    <w:rsid w:val="63D2554F"/>
    <w:rsid w:val="646A4071"/>
    <w:rsid w:val="65B354C7"/>
    <w:rsid w:val="66E430F4"/>
    <w:rsid w:val="675004C8"/>
    <w:rsid w:val="67BA2941"/>
    <w:rsid w:val="682312D6"/>
    <w:rsid w:val="697A3C70"/>
    <w:rsid w:val="69FB6D3D"/>
    <w:rsid w:val="6B736708"/>
    <w:rsid w:val="6C841BAD"/>
    <w:rsid w:val="6CFD3B46"/>
    <w:rsid w:val="6D4F426D"/>
    <w:rsid w:val="6D65184A"/>
    <w:rsid w:val="6DE75F8E"/>
    <w:rsid w:val="6E65238E"/>
    <w:rsid w:val="6EAB79CE"/>
    <w:rsid w:val="6F253361"/>
    <w:rsid w:val="6FFB4570"/>
    <w:rsid w:val="714C5157"/>
    <w:rsid w:val="717464FF"/>
    <w:rsid w:val="71953283"/>
    <w:rsid w:val="71A63F15"/>
    <w:rsid w:val="72331F17"/>
    <w:rsid w:val="735C11F3"/>
    <w:rsid w:val="73C56BB5"/>
    <w:rsid w:val="74F51705"/>
    <w:rsid w:val="75FF55ED"/>
    <w:rsid w:val="76366479"/>
    <w:rsid w:val="76A67E57"/>
    <w:rsid w:val="78F56274"/>
    <w:rsid w:val="793C0E18"/>
    <w:rsid w:val="7C903EF9"/>
    <w:rsid w:val="7C96254D"/>
    <w:rsid w:val="7D7636F9"/>
    <w:rsid w:val="7DE64A72"/>
    <w:rsid w:val="7E1C0D3A"/>
    <w:rsid w:val="7ECC001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semiHidden/>
    <w:unhideWhenUsed/>
    <w:qFormat/>
    <w:uiPriority w:val="9"/>
    <w:pPr>
      <w:spacing w:beforeAutospacing="1" w:afterAutospacing="1"/>
      <w:jc w:val="left"/>
      <w:outlineLvl w:val="1"/>
    </w:pPr>
    <w:rPr>
      <w:rFonts w:hint="eastAsia" w:ascii="宋体" w:hAnsi="宋体" w:eastAsia="宋体" w:cs="Times New Roman"/>
      <w:b/>
      <w:bCs/>
      <w:kern w:val="0"/>
      <w:sz w:val="36"/>
      <w:szCs w:val="36"/>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3">
    <w:name w:val="Balloon Text"/>
    <w:basedOn w:val="1"/>
    <w:link w:val="11"/>
    <w:semiHidden/>
    <w:unhideWhenUsed/>
    <w:qFormat/>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unhideWhenUsed/>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9">
    <w:name w:val="Strong"/>
    <w:basedOn w:val="8"/>
    <w:qFormat/>
    <w:uiPriority w:val="0"/>
    <w:rPr>
      <w:b/>
    </w:rPr>
  </w:style>
  <w:style w:type="character" w:styleId="10">
    <w:name w:val="Hyperlink"/>
    <w:basedOn w:val="8"/>
    <w:semiHidden/>
    <w:unhideWhenUsed/>
    <w:qFormat/>
    <w:uiPriority w:val="99"/>
    <w:rPr>
      <w:color w:val="0000FF"/>
      <w:u w:val="single"/>
    </w:rPr>
  </w:style>
  <w:style w:type="character" w:customStyle="1" w:styleId="11">
    <w:name w:val="批注框文本 Char"/>
    <w:basedOn w:val="8"/>
    <w:link w:val="3"/>
    <w:semiHidden/>
    <w:qFormat/>
    <w:uiPriority w:val="99"/>
    <w:rPr>
      <w:rFonts w:asciiTheme="minorHAnsi" w:hAnsiTheme="minorHAnsi" w:eastAsiaTheme="minorEastAsia" w:cstheme="minorBidi"/>
      <w:kern w:val="2"/>
      <w:sz w:val="18"/>
      <w:szCs w:val="18"/>
    </w:rPr>
  </w:style>
  <w:style w:type="character" w:customStyle="1" w:styleId="12">
    <w:name w:val="font11"/>
    <w:basedOn w:val="8"/>
    <w:qFormat/>
    <w:uiPriority w:val="0"/>
    <w:rPr>
      <w:rFonts w:hint="eastAsia" w:ascii="宋体" w:hAnsi="宋体" w:eastAsia="宋体" w:cs="宋体"/>
      <w:color w:val="000000"/>
      <w:sz w:val="22"/>
      <w:szCs w:val="22"/>
      <w:u w:val="none"/>
    </w:rPr>
  </w:style>
  <w:style w:type="character" w:customStyle="1" w:styleId="13">
    <w:name w:val="font01"/>
    <w:basedOn w:val="8"/>
    <w:qFormat/>
    <w:uiPriority w:val="0"/>
    <w:rPr>
      <w:rFonts w:ascii="Arial" w:hAnsi="Arial" w:cs="Arial"/>
      <w:color w:val="000000"/>
      <w:sz w:val="22"/>
      <w:szCs w:val="22"/>
      <w:u w:val="none"/>
    </w:rPr>
  </w:style>
  <w:style w:type="character" w:customStyle="1" w:styleId="14">
    <w:name w:val="font71"/>
    <w:basedOn w:val="8"/>
    <w:qFormat/>
    <w:uiPriority w:val="0"/>
    <w:rPr>
      <w:rFonts w:hint="eastAsia" w:ascii="宋体" w:hAnsi="宋体" w:eastAsia="宋体" w:cs="宋体"/>
      <w:color w:val="000000"/>
      <w:sz w:val="22"/>
      <w:szCs w:val="22"/>
      <w:u w:val="none"/>
    </w:rPr>
  </w:style>
  <w:style w:type="character" w:customStyle="1" w:styleId="15">
    <w:name w:val="font21"/>
    <w:basedOn w:val="8"/>
    <w:qFormat/>
    <w:uiPriority w:val="0"/>
    <w:rPr>
      <w:rFonts w:hint="eastAsia" w:ascii="宋体" w:hAnsi="宋体" w:eastAsia="宋体" w:cs="宋体"/>
      <w:color w:val="000000"/>
      <w:sz w:val="22"/>
      <w:szCs w:val="22"/>
      <w:u w:val="none"/>
    </w:rPr>
  </w:style>
  <w:style w:type="character" w:customStyle="1" w:styleId="16">
    <w:name w:val="font31"/>
    <w:basedOn w:val="8"/>
    <w:qFormat/>
    <w:uiPriority w:val="0"/>
    <w:rPr>
      <w:rFonts w:hint="eastAsia" w:ascii="宋体" w:hAnsi="宋体" w:eastAsia="宋体" w:cs="宋体"/>
      <w:color w:val="000000"/>
      <w:sz w:val="22"/>
      <w:szCs w:val="22"/>
      <w:u w:val="none"/>
    </w:rPr>
  </w:style>
  <w:style w:type="character" w:customStyle="1" w:styleId="17">
    <w:name w:val="font41"/>
    <w:basedOn w:val="8"/>
    <w:qFormat/>
    <w:uiPriority w:val="0"/>
    <w:rPr>
      <w:rFonts w:hint="eastAsia" w:ascii="宋体" w:hAnsi="宋体" w:eastAsia="宋体" w:cs="宋体"/>
      <w:color w:val="000000"/>
      <w:sz w:val="21"/>
      <w:szCs w:val="21"/>
      <w:u w:val="none"/>
    </w:rPr>
  </w:style>
  <w:style w:type="character" w:customStyle="1" w:styleId="18">
    <w:name w:val="font51"/>
    <w:basedOn w:val="8"/>
    <w:qFormat/>
    <w:uiPriority w:val="0"/>
    <w:rPr>
      <w:rFonts w:hint="eastAsia" w:ascii="仿宋_GB2312" w:eastAsia="仿宋_GB2312" w:cs="仿宋_GB2312"/>
      <w:color w:val="000000"/>
      <w:sz w:val="24"/>
      <w:szCs w:val="24"/>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Sky123.Org</Company>
  <Pages>24</Pages>
  <Words>19036</Words>
  <Characters>19509</Characters>
  <Lines>138</Lines>
  <Paragraphs>38</Paragraphs>
  <TotalTime>4</TotalTime>
  <ScaleCrop>false</ScaleCrop>
  <LinksUpToDate>false</LinksUpToDate>
  <CharactersWithSpaces>19601</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2021-08-05T06:47:00Z</dcterms:created>
  <dc:creator>2013</dc:creator>
  <cp:lastModifiedBy>暧暧远人村</cp:lastModifiedBy>
  <cp:lastPrinted>2023-06-26T02:58:00Z</cp:lastPrinted>
  <dcterms:modified xsi:type="dcterms:W3CDTF">2024-05-24T08:25:57Z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27FBDBF34C99481292ADEBBC63F59FB1_13</vt:lpwstr>
  </property>
</Properties>
</file>