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225" w:beforeAutospacing="0" w:after="0" w:afterAutospacing="0" w:line="405" w:lineRule="atLeast"/>
        <w:ind w:right="0"/>
        <w:jc w:val="left"/>
        <w:rPr>
          <w:rFonts w:hint="eastAsia" w:ascii="仿宋" w:hAnsi="仿宋" w:eastAsia="仿宋" w:cs="仿宋"/>
          <w:b w:val="0"/>
          <w:bCs w:val="0"/>
          <w:color w:val="151515"/>
          <w:kern w:val="0"/>
          <w:sz w:val="32"/>
          <w:szCs w:val="32"/>
          <w:shd w:val="clear" w:fill="FFFFFF"/>
          <w:lang w:val="en-US" w:eastAsia="zh-CN" w:bidi="ar"/>
        </w:rPr>
      </w:pPr>
      <w:r>
        <w:rPr>
          <w:rFonts w:hint="eastAsia" w:ascii="仿宋" w:hAnsi="仿宋" w:eastAsia="仿宋" w:cs="仿宋"/>
          <w:b w:val="0"/>
          <w:bCs w:val="0"/>
          <w:color w:val="151515"/>
          <w:kern w:val="0"/>
          <w:sz w:val="32"/>
          <w:szCs w:val="32"/>
          <w:shd w:val="clear" w:fill="FFFFFF"/>
          <w:lang w:val="en-US" w:eastAsia="zh-CN" w:bidi="ar"/>
        </w:rPr>
        <w:t>附件：</w:t>
      </w:r>
    </w:p>
    <w:p>
      <w:pPr>
        <w:pStyle w:val="14"/>
        <w:ind w:left="0" w:leftChars="0" w:firstLine="0" w:firstLineChars="0"/>
        <w:rPr>
          <w:rFonts w:hint="eastAsia"/>
          <w:sz w:val="24"/>
          <w:szCs w:val="13"/>
        </w:rPr>
      </w:pPr>
    </w:p>
    <w:p>
      <w:pPr>
        <w:keepNext w:val="0"/>
        <w:keepLines w:val="0"/>
        <w:pageBreakBefore w:val="0"/>
        <w:widowControl w:val="0"/>
        <w:wordWrap/>
        <w:overflowPunct/>
        <w:topLinePunct w:val="0"/>
        <w:bidi w:val="0"/>
        <w:spacing w:line="360" w:lineRule="auto"/>
        <w:jc w:val="center"/>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浙江省成人教育与职业教育协会2024年工作要点</w:t>
      </w:r>
    </w:p>
    <w:p>
      <w:pPr>
        <w:pStyle w:val="20"/>
        <w:keepNext w:val="0"/>
        <w:keepLines w:val="0"/>
        <w:pageBreakBefore w:val="0"/>
        <w:widowControl w:val="0"/>
        <w:wordWrap/>
        <w:overflowPunct/>
        <w:topLinePunct w:val="0"/>
        <w:bidi w:val="0"/>
        <w:spacing w:line="240" w:lineRule="auto"/>
        <w:ind w:left="0" w:leftChars="0" w:firstLine="0" w:firstLineChars="0"/>
        <w:rPr>
          <w:rFonts w:hint="default" w:ascii="仿宋" w:hAnsi="仿宋" w:eastAsia="仿宋" w:cs="仿宋"/>
          <w:sz w:val="24"/>
          <w:szCs w:val="24"/>
          <w:lang w:val="en-US" w:eastAsia="zh-CN"/>
        </w:rPr>
      </w:pPr>
    </w:p>
    <w:p>
      <w:pPr>
        <w:pStyle w:val="20"/>
        <w:spacing w:line="360" w:lineRule="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2024年省成职教协会工作的总体要求是：以习近平新时代中国特色社会主义思想为指导，深入学习贯彻习近平总书记关于教育的重要讲话精神，深刻领会中国式现代化的本质和要求，进一步明确协会在中国式现代化进程中的政治站位、历史方位、职责定位，围绕中心，服务大局，加强调查研究、学术活动、专题培训、咨询服务，聚焦“三支队伍”建设，不断提高研究能力、服务能力、协调能力和创新能力，团结广大会员，奋力谱写中国式现代化浙江成职教新篇章。</w:t>
      </w:r>
    </w:p>
    <w:p>
      <w:pPr>
        <w:pStyle w:val="7"/>
        <w:ind w:left="0" w:leftChars="0" w:firstLine="643" w:firstLineChars="200"/>
        <w:rPr>
          <w:rFonts w:hint="default"/>
          <w:color w:val="auto"/>
          <w:sz w:val="32"/>
          <w:szCs w:val="32"/>
          <w:lang w:val="en-US" w:eastAsia="zh-CN"/>
        </w:rPr>
      </w:pPr>
      <w:r>
        <w:rPr>
          <w:rFonts w:hint="eastAsia" w:ascii="仿宋" w:hAnsi="仿宋" w:eastAsia="仿宋" w:cs="仿宋"/>
          <w:b/>
          <w:bCs/>
          <w:color w:val="auto"/>
          <w:kern w:val="2"/>
          <w:sz w:val="32"/>
          <w:szCs w:val="32"/>
          <w:lang w:val="en-US" w:eastAsia="zh-CN" w:bidi="ar-SA"/>
        </w:rPr>
        <w:t>（一）开好会员代表大会和换届工作</w:t>
      </w:r>
    </w:p>
    <w:p>
      <w:pPr>
        <w:pStyle w:val="20"/>
        <w:numPr>
          <w:ilvl w:val="0"/>
          <w:numId w:val="0"/>
        </w:numPr>
        <w:spacing w:line="360" w:lineRule="auto"/>
        <w:ind w:firstLine="640" w:firstLineChars="200"/>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1.筹备协会换届工作。按照规章流程，制定换届方案、召开换届筹备会议、成立换届工作小组，高质量准备会议材料和报告，确保换届工作的科学、规范和公平。</w:t>
      </w:r>
    </w:p>
    <w:p>
      <w:pPr>
        <w:pStyle w:val="20"/>
        <w:numPr>
          <w:ilvl w:val="0"/>
          <w:numId w:val="0"/>
        </w:numPr>
        <w:spacing w:line="360" w:lineRule="auto"/>
        <w:ind w:firstLine="640" w:firstLineChars="200"/>
        <w:rPr>
          <w:rFonts w:hint="default"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2.开好会员代表大会。组织召开第七届会员代表大会，完成协会理事会换届工作。</w:t>
      </w:r>
    </w:p>
    <w:p>
      <w:pPr>
        <w:pStyle w:val="20"/>
        <w:numPr>
          <w:ilvl w:val="0"/>
          <w:numId w:val="0"/>
        </w:numPr>
        <w:spacing w:line="360" w:lineRule="auto"/>
        <w:ind w:firstLine="640" w:firstLineChars="200"/>
        <w:rPr>
          <w:rFonts w:hint="default" w:ascii="仿宋" w:hAnsi="仿宋" w:eastAsia="仿宋" w:cs="仿宋"/>
          <w:b/>
          <w:bCs/>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3.召开年度常规会议。组织协会会长办公会议、秘书长工作会议、常务理事会议、全体理事年会等会议，总结和布置工作，审议工作报告，努力把协会办成会员满意的社团组织。</w:t>
      </w:r>
    </w:p>
    <w:p>
      <w:pPr>
        <w:pStyle w:val="7"/>
        <w:spacing w:line="360" w:lineRule="auto"/>
        <w:ind w:left="0" w:leftChars="0" w:firstLine="643" w:firstLineChars="200"/>
        <w:rPr>
          <w:rFonts w:hint="eastAsia" w:ascii="仿宋" w:hAnsi="仿宋" w:eastAsia="仿宋" w:cs="仿宋"/>
          <w:b/>
          <w:bCs/>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（二）持续开展高质量学术研究活动</w:t>
      </w:r>
    </w:p>
    <w:p>
      <w:pPr>
        <w:pStyle w:val="20"/>
        <w:spacing w:line="360" w:lineRule="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4.组织优秀教科研成果评选。与省教育厅职成教教研室共同组织开展2024年度职成教科研优秀成果评选活动，严格按照评审标准，遴选出一批具有一定学术水平和可供借鉴、复制、推广的研究成果，以科研力量助推职业教育与成人继续教育教学质量整体提升。</w:t>
      </w:r>
    </w:p>
    <w:p>
      <w:pPr>
        <w:pStyle w:val="20"/>
        <w:spacing w:line="360" w:lineRule="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5.开展课题研究指导。制定发布2024年度协会教科研课题研究指南，立项一批研究课题，做好课题立项申报、评审、公示和开题等工作，加强研究过程的指导、监督和管理。同时，及时转发各级各类科研课题申报通知，组织指导广大会员单位积极申报全国教科规划、省哲社科规划、省教科规划、省社科联等各级各类科研课题，努力提升全省职业教育与成人继续教育科研水平。</w:t>
      </w:r>
    </w:p>
    <w:p>
      <w:pPr>
        <w:pStyle w:val="20"/>
        <w:numPr>
          <w:ilvl w:val="0"/>
          <w:numId w:val="0"/>
        </w:numPr>
        <w:spacing w:line="360" w:lineRule="auto"/>
        <w:ind w:firstLine="640" w:firstLineChars="200"/>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6.组织特色学术会议。依照各分会的特色，在例行年会的基础上，创造性地开展相关学会活动，在重视活动广泛开展的同时，注重提高活动的质量，提高吸引力和社会影响力。组织会员单位参与</w:t>
      </w:r>
      <w:r>
        <w:rPr>
          <w:rFonts w:hint="eastAsia" w:ascii="仿宋" w:hAnsi="仿宋" w:eastAsia="仿宋"/>
          <w:color w:val="auto"/>
          <w:sz w:val="32"/>
          <w:szCs w:val="32"/>
        </w:rPr>
        <w:t>长三角职业教育联合学术活动</w:t>
      </w:r>
      <w:r>
        <w:rPr>
          <w:rFonts w:hint="eastAsia" w:ascii="仿宋" w:hAnsi="仿宋" w:eastAsia="仿宋"/>
          <w:color w:val="auto"/>
          <w:sz w:val="32"/>
          <w:szCs w:val="32"/>
          <w:lang w:eastAsia="zh-CN"/>
        </w:rPr>
        <w:t>。</w:t>
      </w:r>
    </w:p>
    <w:p>
      <w:pPr>
        <w:pStyle w:val="7"/>
        <w:spacing w:line="360" w:lineRule="auto"/>
        <w:ind w:left="0" w:leftChars="0" w:firstLine="643" w:firstLineChars="200"/>
        <w:rPr>
          <w:rFonts w:hint="eastAsia" w:ascii="仿宋" w:hAnsi="仿宋" w:eastAsia="仿宋" w:cs="仿宋"/>
          <w:b/>
          <w:bCs/>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（三）聚焦队伍建设开展培训和交流</w:t>
      </w:r>
    </w:p>
    <w:p>
      <w:pPr>
        <w:pStyle w:val="7"/>
        <w:spacing w:line="360" w:lineRule="auto"/>
        <w:ind w:left="0" w:leftChars="0" w:firstLine="640" w:firstLineChars="200"/>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7.组织“之江职教讲坛”活动。继续发挥学术平台优势携手各会员单位，通过线上线下相结合的方式，为会员单位教师提供关于职教发展、政策解读、学术科研等内容。</w:t>
      </w:r>
    </w:p>
    <w:p>
      <w:pPr>
        <w:pStyle w:val="20"/>
        <w:spacing w:line="360" w:lineRule="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8.开展继续教育系列培训。面向全体职业教育和成人教育教师，开展全省社区教育和职业教育继续教育系列培训，提高职业教育与成人教育教师职业素质、教科研水平和工作能力。</w:t>
      </w:r>
    </w:p>
    <w:p>
      <w:pPr>
        <w:pStyle w:val="7"/>
        <w:ind w:left="0" w:leftChars="0" w:firstLine="640" w:firstLineChars="200"/>
        <w:rPr>
          <w:rFonts w:hint="eastAsia" w:eastAsia="仿宋"/>
          <w:color w:val="auto"/>
          <w:sz w:val="32"/>
          <w:szCs w:val="32"/>
          <w:lang w:val="en-US" w:eastAsia="zh-CN"/>
        </w:rPr>
      </w:pPr>
      <w:r>
        <w:rPr>
          <w:rFonts w:hint="eastAsia" w:ascii="仿宋" w:hAnsi="仿宋" w:eastAsia="仿宋" w:cs="仿宋"/>
          <w:b w:val="0"/>
          <w:bCs w:val="0"/>
          <w:color w:val="auto"/>
          <w:kern w:val="2"/>
          <w:sz w:val="32"/>
          <w:szCs w:val="32"/>
          <w:lang w:val="en-US" w:eastAsia="zh-CN" w:bidi="ar-SA"/>
        </w:rPr>
        <w:t>9.加强长三角职教合作交流。参与组建长三角职教学会（协会）合作联盟，组织会员单位参与长三角职业教育联合学术活动，促进长三角职业院校相互交流学习考察，推动教师队伍建设</w:t>
      </w:r>
      <w:r>
        <w:rPr>
          <w:rFonts w:hint="eastAsia" w:ascii="仿宋" w:hAnsi="仿宋" w:eastAsia="仿宋"/>
          <w:color w:val="auto"/>
          <w:sz w:val="32"/>
          <w:szCs w:val="32"/>
          <w:lang w:eastAsia="zh-CN"/>
        </w:rPr>
        <w:t>。</w:t>
      </w:r>
    </w:p>
    <w:p>
      <w:pPr>
        <w:pStyle w:val="7"/>
        <w:spacing w:line="360" w:lineRule="auto"/>
        <w:ind w:left="0" w:leftChars="0" w:firstLine="643" w:firstLineChars="200"/>
        <w:rPr>
          <w:rFonts w:hint="eastAsia" w:ascii="仿宋" w:hAnsi="仿宋" w:eastAsia="仿宋" w:cs="仿宋"/>
          <w:b/>
          <w:bCs/>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（四）认真协办浙江职成教两大活动周</w:t>
      </w:r>
    </w:p>
    <w:p>
      <w:pPr>
        <w:pStyle w:val="20"/>
        <w:spacing w:line="360" w:lineRule="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10.协办省职业教育活动周。积极配合省教育厅继续办好2024年全省职业教育活动周，认真组织开展各类活动。通过线上线下相结合的方式组织开展校园开放体验、社会服务、教学成果展示等丰富多彩的活动，着力展现职业教育的特色与魅力。充分发挥各会员单位资源优势，丰富活动形式和活动内容，进一步提高全社会对职业教育的认识和支持。</w:t>
      </w:r>
    </w:p>
    <w:p>
      <w:pPr>
        <w:pStyle w:val="20"/>
        <w:spacing w:line="360" w:lineRule="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11.协办省全民终身学习活动周。积极配合省教育厅持续办好2024年全省全民终身学习活动周总开幕式。总结往年经验，丰富活动内容，创新活动形式，积极营造活动氛围，积极构建服务全民终身学习的教育体系，积极探索终身学习型社会的浙江示范。组织开展2024年浙江省“百姓学习之星”“终身学习品牌项目”等推介活动，认真发掘全民终身学习的励志故事和典型人物以及终身学习的优秀工作案例和成果，树立先进典型和。</w:t>
      </w:r>
    </w:p>
    <w:p>
      <w:pPr>
        <w:pStyle w:val="20"/>
        <w:spacing w:line="360" w:lineRule="auto"/>
        <w:rPr>
          <w:rFonts w:hint="default" w:ascii="仿宋" w:hAnsi="仿宋" w:eastAsia="仿宋" w:cs="仿宋"/>
          <w:b/>
          <w:bCs/>
          <w:color w:val="auto"/>
          <w:kern w:val="2"/>
          <w:sz w:val="32"/>
          <w:szCs w:val="32"/>
          <w:lang w:val="en-US" w:eastAsia="zh-CN" w:bidi="ar-SA"/>
        </w:rPr>
      </w:pPr>
      <w:r>
        <w:rPr>
          <w:rFonts w:hint="eastAsia" w:ascii="仿宋" w:hAnsi="仿宋" w:eastAsia="仿宋" w:cs="仿宋"/>
          <w:b/>
          <w:bCs/>
          <w:color w:val="auto"/>
          <w:kern w:val="2"/>
          <w:sz w:val="32"/>
          <w:szCs w:val="32"/>
          <w:lang w:val="en-US" w:eastAsia="zh-CN" w:bidi="ar-SA"/>
        </w:rPr>
        <w:t>（五）不断完善协会服务工作</w:t>
      </w:r>
    </w:p>
    <w:p>
      <w:pPr>
        <w:pStyle w:val="20"/>
        <w:spacing w:line="360" w:lineRule="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12.编辑协会《工作简报》。编辑《工作简报》4期，精心组织稿件，积极发挥其对协会工作的交流、宣传功能。</w:t>
      </w:r>
    </w:p>
    <w:p>
      <w:pPr>
        <w:pStyle w:val="20"/>
        <w:spacing w:line="360" w:lineRule="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13.强化网站管理。及时更新充实栏目内容，呈现亮点、彰显特色。适时开展网站通讯员队伍培训，传递更多的浙江实践、浙江经验和浙江样板，努力把“浙江职成教网”办成职成教界有影响的网站。</w:t>
      </w:r>
    </w:p>
    <w:p>
      <w:pPr>
        <w:pStyle w:val="20"/>
        <w:keepNext w:val="0"/>
        <w:keepLines w:val="0"/>
        <w:pageBreakBefore w:val="0"/>
        <w:widowControl w:val="0"/>
        <w:wordWrap/>
        <w:overflowPunct/>
        <w:topLinePunct w:val="0"/>
        <w:bidi w:val="0"/>
        <w:spacing w:line="360" w:lineRule="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kern w:val="2"/>
          <w:sz w:val="32"/>
          <w:szCs w:val="32"/>
          <w:lang w:val="en-US" w:eastAsia="zh-CN" w:bidi="ar-SA"/>
        </w:rPr>
        <w:t>14.做好会费收缴及其它工作。结合各分会年会，做好2024年会费收缴工作，严格按管理办法使用会费。做好年检及其它日常工作。</w:t>
      </w:r>
    </w:p>
    <w:p>
      <w:pPr>
        <w:pStyle w:val="7"/>
        <w:ind w:left="0" w:leftChars="0" w:firstLine="0" w:firstLineChars="0"/>
        <w:rPr>
          <w:rFonts w:hint="eastAsia"/>
          <w:lang w:val="en-US" w:eastAsia="zh-CN"/>
        </w:rPr>
      </w:pPr>
    </w:p>
    <w:p>
      <w:pPr>
        <w:pStyle w:val="7"/>
        <w:ind w:left="0" w:leftChars="0" w:firstLine="0" w:firstLineChars="0"/>
        <w:rPr>
          <w:rFonts w:hint="eastAsia" w:ascii="仿宋" w:hAnsi="仿宋" w:eastAsia="仿宋" w:cs="仿宋"/>
          <w:b w:val="0"/>
          <w:bCs w:val="0"/>
          <w:color w:val="auto"/>
          <w:kern w:val="2"/>
          <w:sz w:val="32"/>
          <w:szCs w:val="32"/>
          <w:lang w:val="en-US" w:eastAsia="zh-CN" w:bidi="ar-SA"/>
        </w:rPr>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pPr>
    </w:p>
    <w:p>
      <w:pPr>
        <w:rPr>
          <w:rFonts w:hint="eastAsia"/>
          <w:lang w:val="en-US" w:eastAsia="zh-CN"/>
        </w:rPr>
      </w:pPr>
    </w:p>
    <w:p>
      <w:pPr>
        <w:spacing w:line="360" w:lineRule="auto"/>
        <w:jc w:val="center"/>
        <w:rPr>
          <w:rFonts w:hint="eastAsia"/>
          <w:lang w:val="en-US" w:eastAsia="zh-CN"/>
        </w:rPr>
      </w:pPr>
      <w:r>
        <w:rPr>
          <w:rFonts w:hint="eastAsia" w:ascii="仿宋" w:hAnsi="仿宋" w:eastAsia="仿宋" w:cs="仿宋"/>
          <w:b/>
          <w:bCs/>
          <w:kern w:val="2"/>
          <w:sz w:val="32"/>
          <w:szCs w:val="32"/>
          <w:lang w:val="en-US" w:eastAsia="zh-CN" w:bidi="ar-SA"/>
        </w:rPr>
        <w:t>省协会2024年度季度工作计划表</w:t>
      </w:r>
    </w:p>
    <w:tbl>
      <w:tblPr>
        <w:tblStyle w:val="16"/>
        <w:tblpPr w:leftFromText="180" w:rightFromText="180" w:vertAnchor="text" w:horzAnchor="page" w:tblpX="1815" w:tblpY="617"/>
        <w:tblOverlap w:val="never"/>
        <w:tblW w:w="86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5257"/>
        <w:gridCol w:w="2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Align w:val="top"/>
          </w:tcPr>
          <w:p>
            <w:pPr>
              <w:pStyle w:val="20"/>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季度</w:t>
            </w:r>
          </w:p>
        </w:tc>
        <w:tc>
          <w:tcPr>
            <w:tcW w:w="5257" w:type="dxa"/>
            <w:vAlign w:val="top"/>
          </w:tcPr>
          <w:p>
            <w:pPr>
              <w:pStyle w:val="20"/>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工作内容</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s="仿宋"/>
                <w:b/>
                <w:bCs/>
                <w:color w:val="auto"/>
                <w:kern w:val="2"/>
                <w:sz w:val="24"/>
                <w:szCs w:val="24"/>
                <w:vertAlign w:val="baseline"/>
                <w:lang w:val="en-US" w:eastAsia="zh-CN" w:bidi="ar-SA"/>
              </w:rPr>
            </w:pPr>
            <w:r>
              <w:rPr>
                <w:rFonts w:hint="eastAsia" w:ascii="仿宋" w:hAnsi="仿宋" w:eastAsia="仿宋" w:cs="仿宋"/>
                <w:b/>
                <w:bCs/>
                <w:color w:val="auto"/>
                <w:kern w:val="2"/>
                <w:sz w:val="24"/>
                <w:szCs w:val="24"/>
                <w:vertAlign w:val="baseline"/>
                <w:lang w:val="en-US" w:eastAsia="zh-CN" w:bidi="ar-SA"/>
              </w:rPr>
              <w:t>承办单位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restart"/>
            <w:vAlign w:val="center"/>
          </w:tcPr>
          <w:p>
            <w:pPr>
              <w:pStyle w:val="20"/>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1-3月</w:t>
            </w: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1.做好协会2023年有关文件资料整理归档工作</w:t>
            </w:r>
          </w:p>
        </w:tc>
        <w:tc>
          <w:tcPr>
            <w:tcW w:w="2276" w:type="dxa"/>
            <w:vAlign w:val="center"/>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2.修改定稿《协会2023年工作总结和2024年工作要点》，制定2024年度工作计划</w:t>
            </w:r>
          </w:p>
        </w:tc>
        <w:tc>
          <w:tcPr>
            <w:tcW w:w="2276" w:type="dxa"/>
            <w:vAlign w:val="center"/>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3.召开2024年度协会</w:t>
            </w:r>
            <w:bookmarkStart w:id="0" w:name="_GoBack"/>
            <w:bookmarkEnd w:id="0"/>
            <w:r>
              <w:rPr>
                <w:rFonts w:hint="eastAsia" w:ascii="仿宋" w:hAnsi="仿宋" w:eastAsia="仿宋" w:cs="仿宋"/>
                <w:color w:val="auto"/>
                <w:kern w:val="2"/>
                <w:sz w:val="24"/>
                <w:szCs w:val="24"/>
                <w:vertAlign w:val="baseline"/>
                <w:lang w:val="en-US" w:eastAsia="zh-CN" w:bidi="ar-SA"/>
              </w:rPr>
              <w:t>会长、秘书长工作会议</w:t>
            </w:r>
          </w:p>
        </w:tc>
        <w:tc>
          <w:tcPr>
            <w:tcW w:w="2276" w:type="dxa"/>
            <w:vAlign w:val="center"/>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4.组织学习习近平新时代中国特色社会主义思想和党的二十大精神</w:t>
            </w:r>
          </w:p>
        </w:tc>
        <w:tc>
          <w:tcPr>
            <w:tcW w:w="2276" w:type="dxa"/>
            <w:vAlign w:val="center"/>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5.</w:t>
            </w:r>
            <w:r>
              <w:rPr>
                <w:rFonts w:hint="eastAsia" w:ascii="仿宋" w:hAnsi="仿宋" w:eastAsia="仿宋" w:cs="仿宋"/>
                <w:b w:val="0"/>
                <w:bCs w:val="0"/>
                <w:color w:val="auto"/>
                <w:sz w:val="24"/>
                <w:szCs w:val="24"/>
                <w:lang w:val="en-US" w:eastAsia="zh-CN"/>
              </w:rPr>
              <w:t>全省社区教育和职业教育继续教育系列培训</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6.“之江职教论坛”第一期</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协会秘书处、各会员单位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7.编辑印发《协会工作简报》第9期</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协会秘书处、职成教网、各分会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restart"/>
            <w:vAlign w:val="center"/>
          </w:tcPr>
          <w:p>
            <w:pPr>
              <w:pStyle w:val="20"/>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4-6月</w:t>
            </w: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8.成立专题调研工作小组，开展专题调研</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9.开展2024年优秀教科研成果评选活动</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协会秘书处、省教育厅职成教教研室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10.协办2024年全省职业教育活动周</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协会秘书处、高职教学分会、中职分会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11.组织指导职业院校、成人学校申报各级各类课题</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12.“之江职教论坛”第二期</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协会秘书处、各会员单位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numPr>
                <w:ilvl w:val="0"/>
                <w:numId w:val="0"/>
              </w:numPr>
              <w:suppressLineNumbers w:val="0"/>
              <w:spacing w:before="0" w:beforeAutospacing="0" w:after="0" w:afterAutospacing="0" w:line="360" w:lineRule="auto"/>
              <w:ind w:left="0" w:leftChars="0" w:right="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13.编辑印发《协会工作简报》第10期</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协会秘书处、职成教网、各分会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14.做好2022、2023年度教科研课题结题工作</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协会秘书处、各分会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15.做好协会2024年度年检工作</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165" w:type="dxa"/>
            <w:vMerge w:val="restart"/>
            <w:vAlign w:val="center"/>
          </w:tcPr>
          <w:p>
            <w:pPr>
              <w:pStyle w:val="20"/>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7-9月</w:t>
            </w: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16.召开协会第七届会员代表大会</w:t>
            </w:r>
          </w:p>
        </w:tc>
        <w:tc>
          <w:tcPr>
            <w:tcW w:w="2276"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165" w:type="dxa"/>
            <w:vMerge w:val="continue"/>
            <w:vAlign w:val="center"/>
          </w:tcPr>
          <w:p>
            <w:pPr>
              <w:pStyle w:val="20"/>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17.组织开展2024年度省“百姓学习之星”“终身学习品牌”遴选活动</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协会秘书处、社区教育分会、各市协会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18.协助省教育厅印发《关于举办2024年浙江省全民终身学习活动周的通知》</w:t>
            </w:r>
          </w:p>
        </w:tc>
        <w:tc>
          <w:tcPr>
            <w:tcW w:w="2276"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19.“之江职教论坛”第三期</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协会秘书处、各会员单位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20.做好协会会员会费收缴工作</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21.编辑印发《协会工作简报》第11期</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协会秘书处、职成教网、各分会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restart"/>
            <w:vAlign w:val="center"/>
          </w:tcPr>
          <w:p>
            <w:pPr>
              <w:pStyle w:val="20"/>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10-12月</w:t>
            </w: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22.协办2024年浙江省全民终身学习活动周开幕式</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协会秘书处、社区教育分会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23.做好2022-2023年度协会立项课题结题工作</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协会秘书处、高职科研工作分会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24.做好2024-2025年度协会科研课题立项工作</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协会秘书处、各分会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25.“之江职教论坛”第四期</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协会秘书处、各会员单位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26.编辑印发《协会工作简报》第12期</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协会秘书处、职成教网、各分会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5" w:type="dxa"/>
            <w:vMerge w:val="continue"/>
            <w:vAlign w:val="center"/>
          </w:tcPr>
          <w:p>
            <w:pPr>
              <w:pStyle w:val="20"/>
              <w:keepNext w:val="0"/>
              <w:keepLines w:val="0"/>
              <w:suppressLineNumbers w:val="0"/>
              <w:spacing w:before="0" w:beforeAutospacing="0" w:after="0" w:afterAutospacing="0" w:line="360" w:lineRule="auto"/>
              <w:ind w:left="0" w:right="0"/>
              <w:jc w:val="left"/>
              <w:rPr>
                <w:rFonts w:hint="eastAsia" w:ascii="仿宋" w:hAnsi="仿宋" w:eastAsia="仿宋" w:cs="仿宋"/>
                <w:color w:val="auto"/>
                <w:kern w:val="2"/>
                <w:sz w:val="24"/>
                <w:szCs w:val="24"/>
                <w:vertAlign w:val="baseline"/>
                <w:lang w:val="en-US" w:eastAsia="zh-CN" w:bidi="ar-SA"/>
              </w:rPr>
            </w:pPr>
          </w:p>
        </w:tc>
        <w:tc>
          <w:tcPr>
            <w:tcW w:w="5257" w:type="dxa"/>
            <w:vAlign w:val="center"/>
          </w:tcPr>
          <w:p>
            <w:pPr>
              <w:pStyle w:val="20"/>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27.做好2024年协会、各分会、各市协会工作总结，谋划2025年工作思路</w:t>
            </w:r>
          </w:p>
        </w:tc>
        <w:tc>
          <w:tcPr>
            <w:tcW w:w="2276" w:type="dxa"/>
            <w:vAlign w:val="top"/>
          </w:tcPr>
          <w:p>
            <w:pPr>
              <w:pStyle w:val="20"/>
              <w:keepNext w:val="0"/>
              <w:keepLines w:val="0"/>
              <w:suppressLineNumbers w:val="0"/>
              <w:spacing w:before="0" w:beforeAutospacing="0" w:after="0" w:afterAutospacing="0" w:line="360" w:lineRule="auto"/>
              <w:ind w:left="0" w:leftChars="0" w:right="0" w:firstLine="0" w:firstLineChars="0"/>
              <w:jc w:val="left"/>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kern w:val="2"/>
                <w:sz w:val="24"/>
                <w:szCs w:val="24"/>
                <w:vertAlign w:val="baseline"/>
                <w:lang w:val="en-US" w:eastAsia="zh-CN" w:bidi="ar-SA"/>
              </w:rPr>
              <w:t>协会秘书处、各分会、各市协会</w:t>
            </w:r>
          </w:p>
        </w:tc>
      </w:tr>
    </w:tbl>
    <w:p>
      <w:pPr>
        <w:pStyle w:val="20"/>
        <w:spacing w:line="360" w:lineRule="auto"/>
        <w:ind w:left="0" w:leftChars="0" w:firstLine="0" w:firstLineChars="0"/>
        <w:rPr>
          <w:rFonts w:hint="eastAsia" w:ascii="仿宋" w:hAnsi="仿宋" w:eastAsia="仿宋" w:cs="仿宋"/>
          <w:kern w:val="2"/>
          <w:sz w:val="28"/>
          <w:szCs w:val="28"/>
          <w:lang w:val="en-US" w:eastAsia="zh-CN" w:bidi="ar-SA"/>
        </w:rPr>
      </w:pPr>
    </w:p>
    <w:p>
      <w:pPr>
        <w:widowControl/>
        <w:numPr>
          <w:ilvl w:val="0"/>
          <w:numId w:val="0"/>
        </w:numPr>
        <w:spacing w:line="520" w:lineRule="exact"/>
        <w:jc w:val="left"/>
        <w:rPr>
          <w:rFonts w:hint="default" w:ascii="仿宋" w:hAnsi="仿宋" w:eastAsia="仿宋" w:cs="仿宋"/>
          <w:sz w:val="32"/>
          <w:szCs w:val="32"/>
          <w:lang w:val="en-US" w:eastAsia="zh-CN"/>
        </w:rPr>
      </w:pPr>
    </w:p>
    <w:sectPr>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仿宋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embedRegular r:id="rId1" w:fontKey="{85B3FE9E-9B5F-471B-A20A-31274E622299}"/>
  </w:font>
  <w:font w:name="方正小标宋简体">
    <w:panose1 w:val="02000000000000000000"/>
    <w:charset w:val="86"/>
    <w:family w:val="auto"/>
    <w:pitch w:val="default"/>
    <w:sig w:usb0="00000001" w:usb1="08000000" w:usb2="00000000" w:usb3="00000000" w:csb0="00040000" w:csb1="00000000"/>
    <w:embedRegular r:id="rId2" w:fontKey="{BB7355ED-C6D7-43ED-BBE3-1DDC5F21764A}"/>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jc w:val="center"/>
                          </w:pPr>
                          <w:r>
                            <w:fldChar w:fldCharType="begin"/>
                          </w:r>
                          <w:r>
                            <w:instrText xml:space="preserve"> PAGE   \* MERGEFORMAT </w:instrText>
                          </w:r>
                          <w:r>
                            <w:fldChar w:fldCharType="separate"/>
                          </w:r>
                          <w:r>
                            <w:rPr>
                              <w:lang w:val="zh-CN"/>
                            </w:rPr>
                            <w:t>13</w:t>
                          </w:r>
                          <w:r>
                            <w:rPr>
                              <w:lang w:val="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10"/>
                      <w:jc w:val="center"/>
                    </w:pPr>
                    <w:r>
                      <w:fldChar w:fldCharType="begin"/>
                    </w:r>
                    <w:r>
                      <w:instrText xml:space="preserve"> PAGE   \* MERGEFORMAT </w:instrText>
                    </w:r>
                    <w:r>
                      <w:fldChar w:fldCharType="separate"/>
                    </w:r>
                    <w:r>
                      <w:rPr>
                        <w:lang w:val="zh-CN"/>
                      </w:rPr>
                      <w:t>13</w:t>
                    </w:r>
                    <w:r>
                      <w:rPr>
                        <w:lang w:val="zh-CN"/>
                      </w:rPr>
                      <w:fldChar w:fldCharType="end"/>
                    </w:r>
                  </w:p>
                </w:txbxContent>
              </v:textbox>
            </v:shape>
          </w:pict>
        </mc:Fallback>
      </mc:AlternateContent>
    </w:r>
  </w:p>
  <w:p>
    <w:pPr>
      <w:pStyle w:val="10"/>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left="525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hideGrammaticalError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2NzI2MjQ5MmFlZGE0N2IwMzgyMmE5MDBhYzU1YWYifQ=="/>
  </w:docVars>
  <w:rsids>
    <w:rsidRoot w:val="00FF6448"/>
    <w:rsid w:val="001E7C6A"/>
    <w:rsid w:val="00273748"/>
    <w:rsid w:val="003B11F3"/>
    <w:rsid w:val="003E1602"/>
    <w:rsid w:val="006772E5"/>
    <w:rsid w:val="006D736D"/>
    <w:rsid w:val="007147DE"/>
    <w:rsid w:val="007B7025"/>
    <w:rsid w:val="00AB6FE2"/>
    <w:rsid w:val="00FF6448"/>
    <w:rsid w:val="030E1AB2"/>
    <w:rsid w:val="04161698"/>
    <w:rsid w:val="04E137A4"/>
    <w:rsid w:val="05637401"/>
    <w:rsid w:val="05A76A4C"/>
    <w:rsid w:val="05E14D9D"/>
    <w:rsid w:val="06952CD8"/>
    <w:rsid w:val="074F2F9E"/>
    <w:rsid w:val="07F10288"/>
    <w:rsid w:val="0B3718A7"/>
    <w:rsid w:val="0C6376AC"/>
    <w:rsid w:val="0CC520B1"/>
    <w:rsid w:val="0D6B328F"/>
    <w:rsid w:val="0E3A610B"/>
    <w:rsid w:val="0E4859C4"/>
    <w:rsid w:val="0E4C412A"/>
    <w:rsid w:val="0FB47FE8"/>
    <w:rsid w:val="11E64458"/>
    <w:rsid w:val="12A916CA"/>
    <w:rsid w:val="13E8587F"/>
    <w:rsid w:val="14A43221"/>
    <w:rsid w:val="14E0745C"/>
    <w:rsid w:val="16925159"/>
    <w:rsid w:val="16A173B5"/>
    <w:rsid w:val="17211849"/>
    <w:rsid w:val="176D312B"/>
    <w:rsid w:val="176D5316"/>
    <w:rsid w:val="17853981"/>
    <w:rsid w:val="190E56CF"/>
    <w:rsid w:val="1A81410A"/>
    <w:rsid w:val="1B332996"/>
    <w:rsid w:val="1CAC0ED7"/>
    <w:rsid w:val="1E0D19BE"/>
    <w:rsid w:val="1E4A1AE4"/>
    <w:rsid w:val="1FBB3F92"/>
    <w:rsid w:val="226C5E9B"/>
    <w:rsid w:val="235D0EC5"/>
    <w:rsid w:val="241B52D0"/>
    <w:rsid w:val="252870E7"/>
    <w:rsid w:val="26EA68D8"/>
    <w:rsid w:val="287C4664"/>
    <w:rsid w:val="29175788"/>
    <w:rsid w:val="293B3138"/>
    <w:rsid w:val="2A0E2F17"/>
    <w:rsid w:val="2B4D7144"/>
    <w:rsid w:val="2C652602"/>
    <w:rsid w:val="2D550E5B"/>
    <w:rsid w:val="2E6526F9"/>
    <w:rsid w:val="2F4C6421"/>
    <w:rsid w:val="30760C45"/>
    <w:rsid w:val="30E670ED"/>
    <w:rsid w:val="311334A8"/>
    <w:rsid w:val="31BC429C"/>
    <w:rsid w:val="32761D96"/>
    <w:rsid w:val="338C53E0"/>
    <w:rsid w:val="339C60BF"/>
    <w:rsid w:val="33D360BC"/>
    <w:rsid w:val="33F31A49"/>
    <w:rsid w:val="34AD1ED3"/>
    <w:rsid w:val="35B51AE5"/>
    <w:rsid w:val="373832D4"/>
    <w:rsid w:val="38891BDC"/>
    <w:rsid w:val="3A226D95"/>
    <w:rsid w:val="3A3D6F16"/>
    <w:rsid w:val="3A6A5551"/>
    <w:rsid w:val="3ADF1E3C"/>
    <w:rsid w:val="3BB4578C"/>
    <w:rsid w:val="3DEF579D"/>
    <w:rsid w:val="3E111FAD"/>
    <w:rsid w:val="3ED90ADF"/>
    <w:rsid w:val="3FFA1395"/>
    <w:rsid w:val="401C1679"/>
    <w:rsid w:val="421A7D7F"/>
    <w:rsid w:val="42A63794"/>
    <w:rsid w:val="42A9786C"/>
    <w:rsid w:val="44365E73"/>
    <w:rsid w:val="45F143B0"/>
    <w:rsid w:val="48011E15"/>
    <w:rsid w:val="48D42E20"/>
    <w:rsid w:val="495C0C56"/>
    <w:rsid w:val="49E50443"/>
    <w:rsid w:val="4AA62139"/>
    <w:rsid w:val="4AE179D0"/>
    <w:rsid w:val="4B002E76"/>
    <w:rsid w:val="4B5A2F6F"/>
    <w:rsid w:val="4BAD7CD9"/>
    <w:rsid w:val="4BDD5875"/>
    <w:rsid w:val="4BF60937"/>
    <w:rsid w:val="4CD44745"/>
    <w:rsid w:val="5137640D"/>
    <w:rsid w:val="5426526A"/>
    <w:rsid w:val="543514CC"/>
    <w:rsid w:val="54711BDF"/>
    <w:rsid w:val="54EC0AD9"/>
    <w:rsid w:val="56300958"/>
    <w:rsid w:val="57864B95"/>
    <w:rsid w:val="579F4BC8"/>
    <w:rsid w:val="57A910F7"/>
    <w:rsid w:val="5801655E"/>
    <w:rsid w:val="58C13C94"/>
    <w:rsid w:val="59430A18"/>
    <w:rsid w:val="5A74572B"/>
    <w:rsid w:val="5CC22769"/>
    <w:rsid w:val="5CD449AB"/>
    <w:rsid w:val="5EC24ED2"/>
    <w:rsid w:val="5ECB2778"/>
    <w:rsid w:val="5F9C1039"/>
    <w:rsid w:val="602C67F9"/>
    <w:rsid w:val="603F5885"/>
    <w:rsid w:val="605E1C6C"/>
    <w:rsid w:val="61933F99"/>
    <w:rsid w:val="622231B2"/>
    <w:rsid w:val="63AE78D4"/>
    <w:rsid w:val="63D2554F"/>
    <w:rsid w:val="64C30C0B"/>
    <w:rsid w:val="67BA2941"/>
    <w:rsid w:val="682312D6"/>
    <w:rsid w:val="69FB6D3D"/>
    <w:rsid w:val="6B736708"/>
    <w:rsid w:val="6C841BAD"/>
    <w:rsid w:val="6CFD3B46"/>
    <w:rsid w:val="6D4F426D"/>
    <w:rsid w:val="6DE75F8E"/>
    <w:rsid w:val="6EAB79CE"/>
    <w:rsid w:val="6F253361"/>
    <w:rsid w:val="714C5157"/>
    <w:rsid w:val="715E721C"/>
    <w:rsid w:val="7258197D"/>
    <w:rsid w:val="72952496"/>
    <w:rsid w:val="75CC1DA9"/>
    <w:rsid w:val="75FF55ED"/>
    <w:rsid w:val="76A67E57"/>
    <w:rsid w:val="793C0E18"/>
    <w:rsid w:val="79CE1D81"/>
    <w:rsid w:val="7C903EF9"/>
    <w:rsid w:val="7C96254D"/>
    <w:rsid w:val="7C99484C"/>
    <w:rsid w:val="7D7636F9"/>
    <w:rsid w:val="7E1C0D3A"/>
    <w:rsid w:val="7EA025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qFormat="1" w:unhideWhenUsed="0" w:uiPriority="0" w:semiHidden="0"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autoRedefine/>
    <w:unhideWhenUsed/>
    <w:qFormat/>
    <w:uiPriority w:val="9"/>
    <w:pPr>
      <w:keepNext/>
      <w:keepLines/>
      <w:spacing w:before="260" w:after="260" w:line="415" w:lineRule="auto"/>
      <w:outlineLvl w:val="1"/>
    </w:pPr>
    <w:rPr>
      <w:rFonts w:ascii="Cambria" w:hAnsi="Cambria" w:eastAsia="宋体" w:cs="Times New Roman"/>
      <w:b/>
      <w:bCs/>
      <w:sz w:val="32"/>
      <w:szCs w:val="32"/>
    </w:rPr>
  </w:style>
  <w:style w:type="paragraph" w:styleId="6">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w:basedOn w:val="3"/>
    <w:autoRedefine/>
    <w:qFormat/>
    <w:uiPriority w:val="0"/>
    <w:pPr>
      <w:ind w:firstLine="420" w:firstLineChars="100"/>
    </w:pPr>
    <w:rPr>
      <w:rFonts w:ascii="Times New Roman" w:hAnsi="Times New Roman" w:eastAsia="宋体"/>
    </w:rPr>
  </w:style>
  <w:style w:type="paragraph" w:styleId="3">
    <w:name w:val="Body Text"/>
    <w:basedOn w:val="1"/>
    <w:next w:val="4"/>
    <w:autoRedefine/>
    <w:unhideWhenUsed/>
    <w:qFormat/>
    <w:uiPriority w:val="1"/>
    <w:pPr>
      <w:spacing w:before="121"/>
      <w:ind w:left="754"/>
    </w:pPr>
    <w:rPr>
      <w:rFonts w:ascii="仿宋_GB2312" w:hAnsi="仿宋_GB2312" w:eastAsia="仿宋_GB2312" w:cs="Times New Roman"/>
      <w:sz w:val="32"/>
      <w:szCs w:val="32"/>
    </w:rPr>
  </w:style>
  <w:style w:type="paragraph" w:styleId="4">
    <w:name w:val="toc 5"/>
    <w:basedOn w:val="1"/>
    <w:next w:val="1"/>
    <w:autoRedefine/>
    <w:qFormat/>
    <w:uiPriority w:val="0"/>
    <w:pPr>
      <w:ind w:left="1680" w:leftChars="800"/>
    </w:pPr>
  </w:style>
  <w:style w:type="paragraph" w:styleId="7">
    <w:name w:val="index 6"/>
    <w:basedOn w:val="1"/>
    <w:next w:val="1"/>
    <w:autoRedefine/>
    <w:qFormat/>
    <w:uiPriority w:val="0"/>
    <w:pPr>
      <w:ind w:left="2100"/>
    </w:pPr>
  </w:style>
  <w:style w:type="paragraph" w:styleId="8">
    <w:name w:val="Body Text Indent"/>
    <w:basedOn w:val="1"/>
    <w:autoRedefine/>
    <w:qFormat/>
    <w:uiPriority w:val="0"/>
    <w:pPr>
      <w:spacing w:after="120"/>
      <w:ind w:left="420" w:leftChars="200"/>
    </w:pPr>
    <w:rPr>
      <w:rFonts w:ascii="Calibri" w:hAnsi="Calibri"/>
      <w:szCs w:val="21"/>
    </w:rPr>
  </w:style>
  <w:style w:type="paragraph" w:styleId="9">
    <w:name w:val="Balloon Text"/>
    <w:basedOn w:val="1"/>
    <w:link w:val="19"/>
    <w:autoRedefine/>
    <w:semiHidden/>
    <w:unhideWhenUsed/>
    <w:qFormat/>
    <w:uiPriority w:val="99"/>
    <w:rPr>
      <w:sz w:val="18"/>
      <w:szCs w:val="18"/>
    </w:rPr>
  </w:style>
  <w:style w:type="paragraph" w:styleId="10">
    <w:name w:val="footer"/>
    <w:basedOn w:val="1"/>
    <w:autoRedefine/>
    <w:unhideWhenUsed/>
    <w:qFormat/>
    <w:uiPriority w:val="99"/>
    <w:pPr>
      <w:tabs>
        <w:tab w:val="center" w:pos="4153"/>
        <w:tab w:val="right" w:pos="8306"/>
      </w:tabs>
      <w:snapToGrid w:val="0"/>
      <w:jc w:val="left"/>
    </w:pPr>
    <w:rPr>
      <w:sz w:val="18"/>
      <w:szCs w:val="18"/>
    </w:rPr>
  </w:style>
  <w:style w:type="paragraph" w:styleId="11">
    <w:name w:val="header"/>
    <w:basedOn w:val="1"/>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basedOn w:val="1"/>
    <w:autoRedefine/>
    <w:qFormat/>
    <w:uiPriority w:val="0"/>
    <w:pPr>
      <w:spacing w:before="50" w:beforeLines="50" w:after="120" w:line="480" w:lineRule="auto"/>
      <w:ind w:firstLine="520"/>
    </w:pPr>
  </w:style>
  <w:style w:type="paragraph" w:styleId="13">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4">
    <w:name w:val="Body Text First Indent 2"/>
    <w:basedOn w:val="8"/>
    <w:autoRedefine/>
    <w:qFormat/>
    <w:uiPriority w:val="0"/>
    <w:pPr>
      <w:ind w:left="200" w:leftChars="0" w:firstLineChars="200"/>
    </w:pPr>
    <w:rPr>
      <w:rFonts w:ascii="仿宋_GB2312" w:eastAsia="仿宋_GB2312"/>
      <w:b/>
      <w:sz w:val="44"/>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autoRedefine/>
    <w:semiHidden/>
    <w:unhideWhenUsed/>
    <w:qFormat/>
    <w:uiPriority w:val="99"/>
    <w:rPr>
      <w:color w:val="0000FF"/>
      <w:u w:val="single"/>
    </w:rPr>
  </w:style>
  <w:style w:type="character" w:customStyle="1" w:styleId="19">
    <w:name w:val="批注框文本 Char"/>
    <w:basedOn w:val="17"/>
    <w:link w:val="9"/>
    <w:autoRedefine/>
    <w:semiHidden/>
    <w:qFormat/>
    <w:uiPriority w:val="99"/>
    <w:rPr>
      <w:rFonts w:asciiTheme="minorHAnsi" w:hAnsiTheme="minorHAnsi" w:eastAsiaTheme="minorEastAsia" w:cstheme="minorBidi"/>
      <w:kern w:val="2"/>
      <w:sz w:val="18"/>
      <w:szCs w:val="18"/>
    </w:rPr>
  </w:style>
  <w:style w:type="paragraph" w:customStyle="1" w:styleId="20">
    <w:name w:val="Char"/>
    <w:basedOn w:val="1"/>
    <w:next w:val="7"/>
    <w:autoRedefine/>
    <w:semiHidden/>
    <w:qFormat/>
    <w:uiPriority w:val="0"/>
    <w:pPr>
      <w:ind w:firstLine="480" w:firstLineChars="200"/>
    </w:pPr>
    <w:rPr>
      <w:rFonts w:eastAsia="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7</Pages>
  <Words>2603</Words>
  <Characters>2784</Characters>
  <Lines>1</Lines>
  <Paragraphs>1</Paragraphs>
  <TotalTime>1</TotalTime>
  <ScaleCrop>false</ScaleCrop>
  <LinksUpToDate>false</LinksUpToDate>
  <CharactersWithSpaces>2784</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2021-08-05T06:47:00Z</dcterms:created>
  <dc:creator>2013</dc:creator>
  <cp:lastModifiedBy>Administrator</cp:lastModifiedBy>
  <cp:lastPrinted>2024-03-15T06:30:00Z</cp:lastPrinted>
  <dcterms:modified xsi:type="dcterms:W3CDTF">2024-03-18T01:50:35Z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AD56A66839684204BDD36A93A99D022B_13</vt:lpwstr>
  </property>
</Properties>
</file>