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0" w:rightFromText="180" w:vertAnchor="page" w:horzAnchor="page" w:tblpX="1630" w:tblpY="1623"/>
        <w:tblOverlap w:val="never"/>
        <w:tblW w:w="0" w:type="auto"/>
        <w:tblInd w:w="0" w:type="dxa"/>
        <w:tblLayout w:type="fixed"/>
        <w:tblCellMar>
          <w:top w:w="0" w:type="dxa"/>
          <w:left w:w="108" w:type="dxa"/>
          <w:bottom w:w="0" w:type="dxa"/>
          <w:right w:w="108" w:type="dxa"/>
        </w:tblCellMar>
      </w:tblPr>
      <w:tblGrid>
        <w:gridCol w:w="8960"/>
      </w:tblGrid>
      <w:tr w14:paraId="3E53E9D9">
        <w:tblPrEx>
          <w:tblCellMar>
            <w:top w:w="0" w:type="dxa"/>
            <w:left w:w="108" w:type="dxa"/>
            <w:bottom w:w="0" w:type="dxa"/>
            <w:right w:w="108" w:type="dxa"/>
          </w:tblCellMar>
        </w:tblPrEx>
        <w:trPr>
          <w:cantSplit/>
          <w:trHeight w:val="1264" w:hRule="atLeast"/>
        </w:trPr>
        <w:tc>
          <w:tcPr>
            <w:tcW w:w="8960" w:type="dxa"/>
          </w:tcPr>
          <w:p w14:paraId="0E58AC24">
            <w:pPr>
              <w:spacing w:line="1060" w:lineRule="exact"/>
              <w:jc w:val="distribute"/>
              <w:rPr>
                <w:rFonts w:eastAsia="方正小标宋简体"/>
                <w:color w:val="FF0000"/>
                <w:w w:val="65"/>
                <w:sz w:val="72"/>
                <w:szCs w:val="72"/>
              </w:rPr>
            </w:pPr>
            <w:r>
              <w:rPr>
                <w:rFonts w:hint="eastAsia" w:eastAsia="方正小标宋简体"/>
                <w:color w:val="FF0000"/>
                <w:w w:val="65"/>
                <w:sz w:val="72"/>
                <w:szCs w:val="72"/>
              </w:rPr>
              <w:t>浙江省成人教育与职业教育协会</w:t>
            </w:r>
          </w:p>
        </w:tc>
      </w:tr>
    </w:tbl>
    <w:p w14:paraId="47C73E1C">
      <w:pPr>
        <w:widowControl/>
        <w:spacing w:line="580" w:lineRule="exact"/>
        <w:jc w:val="center"/>
        <w:rPr>
          <w:rFonts w:ascii="仿宋_GB2312" w:hAnsi="仿宋_GB2312" w:eastAsia="仿宋_GB2312" w:cs="仿宋_GB2312"/>
          <w:color w:val="151515"/>
          <w:kern w:val="0"/>
          <w:sz w:val="32"/>
          <w:szCs w:val="32"/>
        </w:rPr>
      </w:pPr>
      <w:r>
        <w:rPr>
          <w:rFonts w:hint="eastAsia" w:ascii="仿宋" w:hAnsi="仿宋" w:eastAsia="仿宋" w:cs="仿宋"/>
          <w:color w:val="151515"/>
          <w:kern w:val="0"/>
          <w:sz w:val="32"/>
          <w:szCs w:val="32"/>
        </w:rPr>
        <w:t>浙成职协〔202</w:t>
      </w:r>
      <w:r>
        <w:rPr>
          <w:rFonts w:hint="eastAsia" w:ascii="仿宋" w:hAnsi="仿宋" w:eastAsia="仿宋" w:cs="仿宋"/>
          <w:color w:val="151515"/>
          <w:kern w:val="0"/>
          <w:sz w:val="32"/>
          <w:szCs w:val="32"/>
          <w:lang w:val="en-US" w:eastAsia="zh-CN"/>
        </w:rPr>
        <w:t>5</w:t>
      </w:r>
      <w:r>
        <w:rPr>
          <w:rFonts w:hint="eastAsia" w:ascii="仿宋" w:hAnsi="仿宋" w:eastAsia="仿宋" w:cs="仿宋"/>
          <w:color w:val="151515"/>
          <w:kern w:val="0"/>
          <w:sz w:val="32"/>
          <w:szCs w:val="32"/>
        </w:rPr>
        <w:t>〕</w:t>
      </w:r>
      <w:r>
        <w:rPr>
          <w:rFonts w:hint="eastAsia" w:ascii="仿宋" w:hAnsi="仿宋" w:eastAsia="仿宋" w:cs="仿宋"/>
          <w:color w:val="151515"/>
          <w:kern w:val="0"/>
          <w:sz w:val="32"/>
          <w:szCs w:val="32"/>
          <w:lang w:val="en-US" w:eastAsia="zh-CN"/>
        </w:rPr>
        <w:t>6</w:t>
      </w:r>
      <w:r>
        <w:rPr>
          <w:rFonts w:hint="eastAsia" w:ascii="仿宋" w:hAnsi="仿宋" w:eastAsia="仿宋" w:cs="仿宋"/>
          <w:color w:val="151515"/>
          <w:kern w:val="0"/>
          <w:sz w:val="32"/>
          <w:szCs w:val="32"/>
        </w:rPr>
        <w:t>号</w:t>
      </w:r>
    </w:p>
    <w:p w14:paraId="49069097">
      <w:pPr>
        <w:widowControl/>
        <w:spacing w:line="559" w:lineRule="atLeast"/>
        <w:ind w:left="1050" w:hanging="1050" w:hangingChars="500"/>
        <w:rPr>
          <w:rFonts w:ascii="方正小标宋简体" w:hAnsi="方正小标宋简体" w:eastAsia="方正小标宋简体" w:cs="方正小标宋简体"/>
          <w:color w:val="000000"/>
          <w:kern w:val="0"/>
          <w:sz w:val="44"/>
          <w:szCs w:val="44"/>
        </w:rPr>
      </w:pPr>
      <w:r>
        <mc:AlternateContent>
          <mc:Choice Requires="wps">
            <w:drawing>
              <wp:anchor distT="0" distB="0" distL="114300" distR="114300" simplePos="0" relativeHeight="251659264" behindDoc="0" locked="0" layoutInCell="1" allowOverlap="1">
                <wp:simplePos x="0" y="0"/>
                <wp:positionH relativeFrom="column">
                  <wp:posOffset>-210820</wp:posOffset>
                </wp:positionH>
                <wp:positionV relativeFrom="paragraph">
                  <wp:posOffset>57785</wp:posOffset>
                </wp:positionV>
                <wp:extent cx="5734050" cy="0"/>
                <wp:effectExtent l="0" t="19050" r="0" b="19050"/>
                <wp:wrapNone/>
                <wp:docPr id="1" name="直接连接符 1"/>
                <wp:cNvGraphicFramePr/>
                <a:graphic xmlns:a="http://schemas.openxmlformats.org/drawingml/2006/main">
                  <a:graphicData uri="http://schemas.microsoft.com/office/word/2010/wordprocessingShape">
                    <wps:wsp>
                      <wps:cNvCnPr/>
                      <wps:spPr>
                        <a:xfrm>
                          <a:off x="935990" y="2498090"/>
                          <a:ext cx="5734050" cy="0"/>
                        </a:xfrm>
                        <a:prstGeom prst="line">
                          <a:avLst/>
                        </a:prstGeom>
                        <a:ln w="38100"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6.6pt;margin-top:4.55pt;height:0pt;width:451.5pt;z-index:251659264;mso-width-relative:page;mso-height-relative:page;" filled="f" stroked="t" coordsize="21600,21600" o:gfxdata="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nGvaXZAAAABwEAAA8AAAAAAAAAAQAgAAAAIgAAAGRycy9k&#10;b3ducmV2LnhtbFBLAQIUABQAAAAIAIdO4kB2ekD5AQIAAPIDAAAOAAAAAAAAAAEAIAAAACgBAABk&#10;cnMvZTJvRG9jLnhtbFBLBQYAAAAABgAGAFkBAACbBQAAAAA=&#10;">
                <v:fill on="f" focussize="0,0"/>
                <v:stroke weight="3pt" color="#FF0000" joinstyle="round"/>
                <v:imagedata o:title=""/>
                <o:lock v:ext="edit" aspectratio="f"/>
              </v:line>
            </w:pict>
          </mc:Fallback>
        </mc:AlternateContent>
      </w:r>
    </w:p>
    <w:p w14:paraId="0E52713A">
      <w:pPr>
        <w:bidi w:val="0"/>
        <w:jc w:val="center"/>
        <w:rPr>
          <w:rFonts w:hint="eastAsia" w:ascii="方正小标宋简体" w:hAnsi="方正小标宋简体" w:eastAsia="方正小标宋简体" w:cs="方正小标宋简体"/>
          <w:b w:val="0"/>
          <w:bCs w:val="0"/>
          <w:sz w:val="40"/>
          <w:szCs w:val="40"/>
        </w:rPr>
      </w:pPr>
      <w:r>
        <w:rPr>
          <w:rFonts w:hint="eastAsia" w:ascii="方正小标宋简体" w:hAnsi="方正小标宋简体" w:eastAsia="方正小标宋简体" w:cs="方正小标宋简体"/>
          <w:b w:val="0"/>
          <w:bCs w:val="0"/>
          <w:sz w:val="40"/>
          <w:szCs w:val="40"/>
          <w:lang w:val="en-US" w:eastAsia="zh-CN"/>
        </w:rPr>
        <w:t>关于公布2025年度上半年浙江省成人教育与职业教育科研课题结题名单的通知</w:t>
      </w:r>
    </w:p>
    <w:p w14:paraId="032B132A">
      <w:pPr>
        <w:bidi w:val="0"/>
      </w:pPr>
    </w:p>
    <w:p w14:paraId="49F75BA6">
      <w:pPr>
        <w:bidi w:val="0"/>
        <w:rPr>
          <w:rFonts w:hint="eastAsia" w:ascii="方正仿宋_GB2312" w:hAnsi="方正仿宋_GB2312" w:eastAsia="方正仿宋_GB2312" w:cs="方正仿宋_GB2312"/>
          <w:color w:val="auto"/>
          <w:sz w:val="30"/>
          <w:szCs w:val="30"/>
          <w:lang w:val="en-US" w:eastAsia="zh-CN"/>
        </w:rPr>
      </w:pPr>
    </w:p>
    <w:p w14:paraId="08CBE9CB">
      <w:pPr>
        <w:bidi w:val="0"/>
        <w:rPr>
          <w:rFonts w:hint="eastAsia" w:ascii="方正仿宋_GB2312" w:hAnsi="方正仿宋_GB2312" w:eastAsia="方正仿宋_GB2312" w:cs="方正仿宋_GB2312"/>
          <w:color w:val="auto"/>
          <w:sz w:val="30"/>
          <w:szCs w:val="30"/>
          <w:lang w:val="en-US" w:eastAsia="zh-CN"/>
        </w:rPr>
      </w:pPr>
      <w:r>
        <w:rPr>
          <w:rFonts w:hint="eastAsia" w:ascii="方正仿宋_GB2312" w:hAnsi="方正仿宋_GB2312" w:eastAsia="方正仿宋_GB2312" w:cs="方正仿宋_GB2312"/>
          <w:color w:val="auto"/>
          <w:sz w:val="30"/>
          <w:szCs w:val="30"/>
          <w:lang w:val="en-US" w:eastAsia="zh-CN"/>
        </w:rPr>
        <w:t>各会员单位：</w:t>
      </w:r>
    </w:p>
    <w:p w14:paraId="77D36AD5">
      <w:pPr>
        <w:spacing w:line="360" w:lineRule="auto"/>
        <w:ind w:firstLine="620"/>
        <w:jc w:val="both"/>
        <w:rPr>
          <w:rFonts w:hint="eastAsia" w:ascii="方正仿宋_GB2312" w:hAnsi="方正仿宋_GB2312" w:eastAsia="方正仿宋_GB2312" w:cs="方正仿宋_GB2312"/>
          <w:i w:val="0"/>
          <w:iCs w:val="0"/>
          <w:caps w:val="0"/>
          <w:color w:val="auto"/>
          <w:spacing w:val="0"/>
          <w:kern w:val="2"/>
          <w:sz w:val="30"/>
          <w:szCs w:val="30"/>
          <w:shd w:val="clear" w:color="auto" w:fill="FFFFFF"/>
          <w:lang w:val="en-US" w:eastAsia="zh-CN" w:bidi="ar-SA"/>
        </w:rPr>
      </w:pPr>
      <w:r>
        <w:rPr>
          <w:rFonts w:hint="eastAsia" w:ascii="方正仿宋_GB2312" w:hAnsi="方正仿宋_GB2312" w:eastAsia="方正仿宋_GB2312" w:cs="方正仿宋_GB2312"/>
          <w:b w:val="0"/>
          <w:bCs w:val="0"/>
          <w:color w:val="auto"/>
          <w:kern w:val="2"/>
          <w:sz w:val="30"/>
          <w:szCs w:val="30"/>
          <w:lang w:val="en-US" w:eastAsia="zh-CN" w:bidi="ar-SA"/>
        </w:rPr>
        <w:t>根据《关于开展2025年上半年浙江省成人教育与职业教育协会立项课题结题验收的通知》要求，经各会员单位初审，省协会材料复审并请专家评审，本次结题验收合格课题共50项。</w:t>
      </w:r>
      <w:r>
        <w:rPr>
          <w:rFonts w:hint="eastAsia" w:ascii="方正仿宋_GB2312" w:hAnsi="方正仿宋_GB2312" w:eastAsia="方正仿宋_GB2312" w:cs="方正仿宋_GB2312"/>
          <w:i w:val="0"/>
          <w:iCs w:val="0"/>
          <w:caps w:val="0"/>
          <w:color w:val="auto"/>
          <w:spacing w:val="0"/>
          <w:kern w:val="2"/>
          <w:sz w:val="30"/>
          <w:szCs w:val="30"/>
          <w:shd w:val="clear" w:color="auto" w:fill="FFFFFF"/>
          <w:lang w:val="en-US" w:eastAsia="zh-CN" w:bidi="ar-SA"/>
        </w:rPr>
        <w:t>现将验收合格名单予以公布（见附件）。</w:t>
      </w:r>
    </w:p>
    <w:p w14:paraId="5DF54B68">
      <w:pPr>
        <w:pStyle w:val="11"/>
        <w:rPr>
          <w:rFonts w:hint="eastAsia"/>
          <w:lang w:val="en-US" w:eastAsia="zh-CN"/>
        </w:rPr>
      </w:pPr>
    </w:p>
    <w:p w14:paraId="51600EC0">
      <w:pPr>
        <w:bidi w:val="0"/>
        <w:ind w:left="900" w:hanging="900" w:hangingChars="300"/>
        <w:rPr>
          <w:rFonts w:hint="eastAsia" w:ascii="方正仿宋_GB2312" w:hAnsi="方正仿宋_GB2312" w:eastAsia="方正仿宋_GB2312" w:cs="方正仿宋_GB2312"/>
          <w:color w:val="auto"/>
          <w:sz w:val="30"/>
          <w:szCs w:val="30"/>
          <w:lang w:val="en-US" w:eastAsia="zh-CN"/>
        </w:rPr>
      </w:pPr>
      <w:r>
        <w:rPr>
          <w:rFonts w:hint="eastAsia" w:ascii="方正仿宋_GB2312" w:hAnsi="方正仿宋_GB2312" w:eastAsia="方正仿宋_GB2312" w:cs="方正仿宋_GB2312"/>
          <w:color w:val="auto"/>
          <w:sz w:val="30"/>
          <w:szCs w:val="30"/>
          <w:lang w:val="en-US" w:eastAsia="zh-CN"/>
        </w:rPr>
        <w:fldChar w:fldCharType="begin"/>
      </w:r>
      <w:r>
        <w:rPr>
          <w:rFonts w:hint="eastAsia" w:ascii="方正仿宋_GB2312" w:hAnsi="方正仿宋_GB2312" w:eastAsia="方正仿宋_GB2312" w:cs="方正仿宋_GB2312"/>
          <w:color w:val="auto"/>
          <w:sz w:val="30"/>
          <w:szCs w:val="30"/>
          <w:lang w:val="en-US" w:eastAsia="zh-CN"/>
        </w:rPr>
        <w:instrText xml:space="preserve"> HYPERLINK "http://www.zjzcj.com/images/upload/file/20211021/20211021141355_38020.zip" \t "http://www.zjzcj.com/_blank" </w:instrText>
      </w:r>
      <w:r>
        <w:rPr>
          <w:rFonts w:hint="eastAsia" w:ascii="方正仿宋_GB2312" w:hAnsi="方正仿宋_GB2312" w:eastAsia="方正仿宋_GB2312" w:cs="方正仿宋_GB2312"/>
          <w:color w:val="auto"/>
          <w:sz w:val="30"/>
          <w:szCs w:val="30"/>
          <w:lang w:val="en-US" w:eastAsia="zh-CN"/>
        </w:rPr>
        <w:fldChar w:fldCharType="separate"/>
      </w:r>
      <w:r>
        <w:rPr>
          <w:rStyle w:val="10"/>
          <w:rFonts w:hint="eastAsia" w:ascii="方正仿宋_GB2312" w:hAnsi="方正仿宋_GB2312" w:eastAsia="方正仿宋_GB2312" w:cs="方正仿宋_GB2312"/>
          <w:i w:val="0"/>
          <w:iCs w:val="0"/>
          <w:caps w:val="0"/>
          <w:color w:val="auto"/>
          <w:spacing w:val="0"/>
          <w:sz w:val="30"/>
          <w:szCs w:val="30"/>
          <w:u w:val="none"/>
          <w:shd w:val="clear" w:fill="FFFFFF"/>
        </w:rPr>
        <w:t>附件：202</w:t>
      </w:r>
      <w:r>
        <w:rPr>
          <w:rStyle w:val="10"/>
          <w:rFonts w:hint="eastAsia" w:ascii="方正仿宋_GB2312" w:hAnsi="方正仿宋_GB2312" w:eastAsia="方正仿宋_GB2312" w:cs="方正仿宋_GB2312"/>
          <w:i w:val="0"/>
          <w:iCs w:val="0"/>
          <w:caps w:val="0"/>
          <w:color w:val="auto"/>
          <w:spacing w:val="0"/>
          <w:sz w:val="30"/>
          <w:szCs w:val="30"/>
          <w:u w:val="none"/>
          <w:shd w:val="clear" w:fill="FFFFFF"/>
          <w:lang w:val="en-US" w:eastAsia="zh-CN"/>
        </w:rPr>
        <w:t>5</w:t>
      </w:r>
      <w:r>
        <w:rPr>
          <w:rStyle w:val="10"/>
          <w:rFonts w:hint="eastAsia" w:ascii="方正仿宋_GB2312" w:hAnsi="方正仿宋_GB2312" w:eastAsia="方正仿宋_GB2312" w:cs="方正仿宋_GB2312"/>
          <w:i w:val="0"/>
          <w:iCs w:val="0"/>
          <w:caps w:val="0"/>
          <w:color w:val="auto"/>
          <w:spacing w:val="0"/>
          <w:sz w:val="30"/>
          <w:szCs w:val="30"/>
          <w:u w:val="none"/>
          <w:shd w:val="clear" w:fill="FFFFFF"/>
        </w:rPr>
        <w:t>年度</w:t>
      </w:r>
      <w:r>
        <w:rPr>
          <w:rStyle w:val="10"/>
          <w:rFonts w:hint="eastAsia" w:ascii="方正仿宋_GB2312" w:hAnsi="方正仿宋_GB2312" w:eastAsia="方正仿宋_GB2312" w:cs="方正仿宋_GB2312"/>
          <w:i w:val="0"/>
          <w:iCs w:val="0"/>
          <w:caps w:val="0"/>
          <w:color w:val="auto"/>
          <w:spacing w:val="0"/>
          <w:sz w:val="30"/>
          <w:szCs w:val="30"/>
          <w:u w:val="none"/>
          <w:shd w:val="clear" w:fill="FFFFFF"/>
          <w:lang w:val="en-US" w:eastAsia="zh-CN"/>
        </w:rPr>
        <w:t>上半年</w:t>
      </w:r>
      <w:r>
        <w:rPr>
          <w:rStyle w:val="10"/>
          <w:rFonts w:hint="eastAsia" w:ascii="方正仿宋_GB2312" w:hAnsi="方正仿宋_GB2312" w:eastAsia="方正仿宋_GB2312" w:cs="方正仿宋_GB2312"/>
          <w:i w:val="0"/>
          <w:iCs w:val="0"/>
          <w:caps w:val="0"/>
          <w:color w:val="auto"/>
          <w:spacing w:val="0"/>
          <w:sz w:val="30"/>
          <w:szCs w:val="30"/>
          <w:u w:val="none"/>
          <w:shd w:val="clear" w:fill="FFFFFF"/>
        </w:rPr>
        <w:t>浙江省成人教育与职业教育</w:t>
      </w:r>
      <w:r>
        <w:rPr>
          <w:rStyle w:val="10"/>
          <w:rFonts w:hint="eastAsia" w:ascii="方正仿宋_GB2312" w:hAnsi="方正仿宋_GB2312" w:eastAsia="方正仿宋_GB2312" w:cs="方正仿宋_GB2312"/>
          <w:i w:val="0"/>
          <w:iCs w:val="0"/>
          <w:caps w:val="0"/>
          <w:color w:val="auto"/>
          <w:spacing w:val="0"/>
          <w:sz w:val="30"/>
          <w:szCs w:val="30"/>
          <w:u w:val="none"/>
          <w:shd w:val="clear" w:fill="FFFFFF"/>
          <w:lang w:val="en-US" w:eastAsia="zh-CN"/>
        </w:rPr>
        <w:t>科研立项</w:t>
      </w:r>
      <w:r>
        <w:rPr>
          <w:rStyle w:val="10"/>
          <w:rFonts w:hint="eastAsia" w:ascii="方正仿宋_GB2312" w:hAnsi="方正仿宋_GB2312" w:eastAsia="方正仿宋_GB2312" w:cs="方正仿宋_GB2312"/>
          <w:i w:val="0"/>
          <w:iCs w:val="0"/>
          <w:caps w:val="0"/>
          <w:color w:val="auto"/>
          <w:spacing w:val="0"/>
          <w:sz w:val="30"/>
          <w:szCs w:val="30"/>
          <w:u w:val="none"/>
          <w:shd w:val="clear" w:fill="FFFFFF"/>
        </w:rPr>
        <w:t>课题</w:t>
      </w:r>
      <w:r>
        <w:rPr>
          <w:rStyle w:val="10"/>
          <w:rFonts w:hint="eastAsia" w:ascii="方正仿宋_GB2312" w:hAnsi="方正仿宋_GB2312" w:eastAsia="方正仿宋_GB2312" w:cs="方正仿宋_GB2312"/>
          <w:i w:val="0"/>
          <w:iCs w:val="0"/>
          <w:caps w:val="0"/>
          <w:color w:val="auto"/>
          <w:spacing w:val="0"/>
          <w:sz w:val="30"/>
          <w:szCs w:val="30"/>
          <w:u w:val="none"/>
          <w:shd w:val="clear" w:fill="FFFFFF"/>
          <w:lang w:val="en-US" w:eastAsia="zh-CN"/>
        </w:rPr>
        <w:t>结题</w:t>
      </w:r>
      <w:r>
        <w:rPr>
          <w:rStyle w:val="10"/>
          <w:rFonts w:hint="eastAsia" w:ascii="方正仿宋_GB2312" w:hAnsi="方正仿宋_GB2312" w:eastAsia="方正仿宋_GB2312" w:cs="方正仿宋_GB2312"/>
          <w:i w:val="0"/>
          <w:iCs w:val="0"/>
          <w:caps w:val="0"/>
          <w:color w:val="auto"/>
          <w:spacing w:val="0"/>
          <w:sz w:val="30"/>
          <w:szCs w:val="30"/>
          <w:u w:val="none"/>
          <w:shd w:val="clear" w:fill="FFFFFF"/>
        </w:rPr>
        <w:t>名单</w:t>
      </w:r>
      <w:r>
        <w:rPr>
          <w:rFonts w:hint="eastAsia" w:ascii="方正仿宋_GB2312" w:hAnsi="方正仿宋_GB2312" w:eastAsia="方正仿宋_GB2312" w:cs="方正仿宋_GB2312"/>
          <w:color w:val="auto"/>
          <w:sz w:val="30"/>
          <w:szCs w:val="30"/>
          <w:lang w:val="en-US" w:eastAsia="zh-CN"/>
        </w:rPr>
        <w:fldChar w:fldCharType="end"/>
      </w:r>
    </w:p>
    <w:p w14:paraId="41D121A4">
      <w:pPr>
        <w:pStyle w:val="11"/>
        <w:rPr>
          <w:rFonts w:hint="eastAsia" w:ascii="方正仿宋_GB2312" w:hAnsi="方正仿宋_GB2312" w:eastAsia="方正仿宋_GB2312" w:cs="方正仿宋_GB2312"/>
          <w:sz w:val="30"/>
          <w:szCs w:val="30"/>
          <w:lang w:val="en-US" w:eastAsia="zh-CN"/>
        </w:rPr>
      </w:pPr>
    </w:p>
    <w:p w14:paraId="4680B757">
      <w:pPr>
        <w:pStyle w:val="11"/>
        <w:rPr>
          <w:rFonts w:hint="eastAsia" w:ascii="方正仿宋_GB2312" w:hAnsi="方正仿宋_GB2312" w:eastAsia="方正仿宋_GB2312" w:cs="方正仿宋_GB2312"/>
          <w:sz w:val="30"/>
          <w:szCs w:val="30"/>
          <w:lang w:val="en-US" w:eastAsia="zh-CN"/>
        </w:rPr>
      </w:pPr>
      <w:bookmarkStart w:id="0" w:name="_GoBack"/>
      <w:bookmarkEnd w:id="0"/>
    </w:p>
    <w:p w14:paraId="63680298">
      <w:pPr>
        <w:bidi w:val="0"/>
        <w:ind w:firstLine="3900" w:firstLineChars="13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lang w:val="en-US" w:eastAsia="zh-CN"/>
        </w:rPr>
        <w:t>浙江省成人教育与职业教育协会</w:t>
      </w:r>
    </w:p>
    <w:p w14:paraId="00C6F42D">
      <w:pPr>
        <w:bidi w:val="0"/>
        <w:ind w:firstLine="4800" w:firstLineChars="1600"/>
      </w:pPr>
      <w:r>
        <w:rPr>
          <w:rFonts w:hint="eastAsia" w:ascii="方正仿宋_GB2312" w:hAnsi="方正仿宋_GB2312" w:eastAsia="方正仿宋_GB2312" w:cs="方正仿宋_GB2312"/>
          <w:sz w:val="30"/>
          <w:szCs w:val="30"/>
          <w:lang w:val="en-US" w:eastAsia="zh-CN"/>
        </w:rPr>
        <w:t>2025年6月16日</w:t>
      </w:r>
    </w:p>
    <w:p w14:paraId="68F9AEC2">
      <w:pPr>
        <w:pStyle w:val="11"/>
      </w:pPr>
    </w:p>
    <w:p w14:paraId="4676EF9E">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733E9CE5">
      <w:pPr>
        <w:bidi w:val="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lang w:val="en-US" w:eastAsia="zh-CN"/>
        </w:rPr>
        <w:t>附件:</w:t>
      </w:r>
    </w:p>
    <w:p w14:paraId="05D58D04">
      <w:pPr>
        <w:bidi w:val="0"/>
        <w:jc w:val="center"/>
        <w:rPr>
          <w:rFonts w:hint="eastAsia" w:ascii="方正小标宋简体" w:hAnsi="方正小标宋简体" w:eastAsia="方正小标宋简体" w:cs="方正小标宋简体"/>
          <w:sz w:val="36"/>
          <w:szCs w:val="44"/>
          <w:lang w:val="en-US" w:eastAsia="zh-CN"/>
        </w:rPr>
      </w:pPr>
      <w:r>
        <w:rPr>
          <w:rFonts w:hint="eastAsia" w:ascii="方正小标宋简体" w:hAnsi="方正小标宋简体" w:eastAsia="方正小标宋简体" w:cs="方正小标宋简体"/>
          <w:sz w:val="36"/>
          <w:szCs w:val="44"/>
          <w:lang w:val="en-US" w:eastAsia="zh-CN"/>
        </w:rPr>
        <w:t>2025年度上半年浙江省成人教育与职业教育科研立项课题结题名单</w:t>
      </w:r>
    </w:p>
    <w:tbl>
      <w:tblPr>
        <w:tblStyle w:val="8"/>
        <w:tblW w:w="14550"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89"/>
        <w:gridCol w:w="5431"/>
        <w:gridCol w:w="2869"/>
        <w:gridCol w:w="1281"/>
        <w:gridCol w:w="3680"/>
      </w:tblGrid>
      <w:tr w14:paraId="13F65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0" w:hRule="atLeast"/>
        </w:trPr>
        <w:tc>
          <w:tcPr>
            <w:tcW w:w="1289" w:type="dxa"/>
            <w:shd w:val="clear" w:color="auto" w:fill="auto"/>
            <w:vAlign w:val="center"/>
          </w:tcPr>
          <w:p w14:paraId="5564EE8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课题编号</w:t>
            </w:r>
          </w:p>
        </w:tc>
        <w:tc>
          <w:tcPr>
            <w:tcW w:w="5431" w:type="dxa"/>
            <w:shd w:val="clear" w:color="auto" w:fill="auto"/>
            <w:vAlign w:val="center"/>
          </w:tcPr>
          <w:p w14:paraId="73CA86B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2869" w:type="dxa"/>
            <w:shd w:val="clear" w:color="auto" w:fill="auto"/>
            <w:vAlign w:val="center"/>
          </w:tcPr>
          <w:p w14:paraId="6A1267E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c>
          <w:tcPr>
            <w:tcW w:w="1281" w:type="dxa"/>
            <w:shd w:val="clear" w:color="auto" w:fill="auto"/>
            <w:vAlign w:val="center"/>
          </w:tcPr>
          <w:p w14:paraId="73F3685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3680" w:type="dxa"/>
            <w:shd w:val="clear" w:color="auto" w:fill="auto"/>
            <w:vAlign w:val="center"/>
          </w:tcPr>
          <w:p w14:paraId="7A2D25E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主要研究人员</w:t>
            </w:r>
          </w:p>
        </w:tc>
      </w:tr>
      <w:tr w14:paraId="46628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289" w:type="dxa"/>
            <w:shd w:val="clear" w:color="auto" w:fill="auto"/>
            <w:noWrap/>
            <w:vAlign w:val="center"/>
          </w:tcPr>
          <w:p w14:paraId="69678A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2022-6</w:t>
            </w:r>
          </w:p>
        </w:tc>
        <w:tc>
          <w:tcPr>
            <w:tcW w:w="5431" w:type="dxa"/>
            <w:shd w:val="clear" w:color="auto" w:fill="auto"/>
            <w:vAlign w:val="center"/>
          </w:tcPr>
          <w:p w14:paraId="7FDDFC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浙江省未来社区教育场景构建的研究</w:t>
            </w:r>
          </w:p>
        </w:tc>
        <w:tc>
          <w:tcPr>
            <w:tcW w:w="2869" w:type="dxa"/>
            <w:shd w:val="clear" w:color="auto" w:fill="auto"/>
            <w:vAlign w:val="center"/>
          </w:tcPr>
          <w:p w14:paraId="3D3F7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丽水职业技术学院</w:t>
            </w:r>
          </w:p>
        </w:tc>
        <w:tc>
          <w:tcPr>
            <w:tcW w:w="1281" w:type="dxa"/>
            <w:shd w:val="clear" w:color="auto" w:fill="auto"/>
            <w:noWrap/>
            <w:vAlign w:val="center"/>
          </w:tcPr>
          <w:p w14:paraId="15A74F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黄建清</w:t>
            </w:r>
          </w:p>
        </w:tc>
        <w:tc>
          <w:tcPr>
            <w:tcW w:w="3680" w:type="dxa"/>
            <w:shd w:val="clear" w:color="auto" w:fill="auto"/>
            <w:vAlign w:val="center"/>
          </w:tcPr>
          <w:p w14:paraId="34802D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吕丽妃、诸葛凯</w:t>
            </w:r>
          </w:p>
        </w:tc>
      </w:tr>
      <w:tr w14:paraId="0D84B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436F1F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2022-38</w:t>
            </w:r>
          </w:p>
        </w:tc>
        <w:tc>
          <w:tcPr>
            <w:tcW w:w="5431" w:type="dxa"/>
            <w:shd w:val="clear" w:color="auto" w:fill="auto"/>
            <w:vAlign w:val="center"/>
          </w:tcPr>
          <w:p w14:paraId="7BC017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“互联网＋”与虚拟仿真融合教学模式在《构音障碍康复技术》课程中的构建与应用</w:t>
            </w:r>
          </w:p>
        </w:tc>
        <w:tc>
          <w:tcPr>
            <w:tcW w:w="2869" w:type="dxa"/>
            <w:shd w:val="clear" w:color="auto" w:fill="auto"/>
            <w:vAlign w:val="center"/>
          </w:tcPr>
          <w:p w14:paraId="06A586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宁波卫生职业技术学院</w:t>
            </w:r>
          </w:p>
        </w:tc>
        <w:tc>
          <w:tcPr>
            <w:tcW w:w="1281" w:type="dxa"/>
            <w:shd w:val="clear" w:color="auto" w:fill="auto"/>
            <w:noWrap/>
            <w:vAlign w:val="center"/>
          </w:tcPr>
          <w:p w14:paraId="650CD9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易玲</w:t>
            </w:r>
          </w:p>
        </w:tc>
        <w:tc>
          <w:tcPr>
            <w:tcW w:w="3680" w:type="dxa"/>
            <w:shd w:val="clear" w:color="auto" w:fill="auto"/>
            <w:vAlign w:val="center"/>
          </w:tcPr>
          <w:p w14:paraId="4C5C6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顾梦笔、罗巧儿、黄昭鸣、沈晓丽、周静</w:t>
            </w:r>
          </w:p>
        </w:tc>
      </w:tr>
      <w:tr w14:paraId="0469B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1289" w:type="dxa"/>
            <w:shd w:val="clear" w:color="auto" w:fill="auto"/>
            <w:noWrap/>
            <w:vAlign w:val="center"/>
          </w:tcPr>
          <w:p w14:paraId="02C481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2022-52</w:t>
            </w:r>
          </w:p>
        </w:tc>
        <w:tc>
          <w:tcPr>
            <w:tcW w:w="5431" w:type="dxa"/>
            <w:shd w:val="clear" w:color="auto" w:fill="auto"/>
            <w:vAlign w:val="center"/>
          </w:tcPr>
          <w:p w14:paraId="35C728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“岗课赛证”融通下高职产品艺术设计专业课程教学改革研究——以《文创产品设计》课程为例</w:t>
            </w:r>
          </w:p>
        </w:tc>
        <w:tc>
          <w:tcPr>
            <w:tcW w:w="2869" w:type="dxa"/>
            <w:shd w:val="clear" w:color="auto" w:fill="auto"/>
            <w:vAlign w:val="center"/>
          </w:tcPr>
          <w:p w14:paraId="12C94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嘉兴南洋职业技术学院</w:t>
            </w:r>
          </w:p>
        </w:tc>
        <w:tc>
          <w:tcPr>
            <w:tcW w:w="1281" w:type="dxa"/>
            <w:shd w:val="clear" w:color="auto" w:fill="auto"/>
            <w:noWrap/>
            <w:vAlign w:val="center"/>
          </w:tcPr>
          <w:p w14:paraId="1F62D4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王哮天</w:t>
            </w:r>
          </w:p>
        </w:tc>
        <w:tc>
          <w:tcPr>
            <w:tcW w:w="3680" w:type="dxa"/>
            <w:shd w:val="clear" w:color="auto" w:fill="auto"/>
            <w:vAlign w:val="center"/>
          </w:tcPr>
          <w:p w14:paraId="7E3510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沈根海、沈懿旻、孙凛威、赵丹雯、陈旻超、丁恩良</w:t>
            </w:r>
          </w:p>
        </w:tc>
      </w:tr>
      <w:tr w14:paraId="046BB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vAlign w:val="center"/>
          </w:tcPr>
          <w:p w14:paraId="02BE14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2022-96</w:t>
            </w:r>
          </w:p>
        </w:tc>
        <w:tc>
          <w:tcPr>
            <w:tcW w:w="5431" w:type="dxa"/>
            <w:shd w:val="clear" w:color="auto" w:fill="auto"/>
            <w:vAlign w:val="center"/>
          </w:tcPr>
          <w:p w14:paraId="554935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精准教学视域下中职高三语文错题集设计与使用的实践研究</w:t>
            </w:r>
          </w:p>
        </w:tc>
        <w:tc>
          <w:tcPr>
            <w:tcW w:w="2869" w:type="dxa"/>
            <w:shd w:val="clear" w:color="auto" w:fill="auto"/>
            <w:vAlign w:val="center"/>
          </w:tcPr>
          <w:p w14:paraId="640F48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温州市职业中等专业学校</w:t>
            </w:r>
          </w:p>
        </w:tc>
        <w:tc>
          <w:tcPr>
            <w:tcW w:w="1281" w:type="dxa"/>
            <w:shd w:val="clear" w:color="auto" w:fill="auto"/>
            <w:vAlign w:val="center"/>
          </w:tcPr>
          <w:p w14:paraId="54294D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杨维维</w:t>
            </w:r>
          </w:p>
        </w:tc>
        <w:tc>
          <w:tcPr>
            <w:tcW w:w="3680" w:type="dxa"/>
            <w:shd w:val="clear" w:color="auto" w:fill="auto"/>
            <w:vAlign w:val="center"/>
          </w:tcPr>
          <w:p w14:paraId="5B221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周欣霖（执笔）、严久官、高庆旭、李江、蒋婉婷、李渊泉</w:t>
            </w:r>
          </w:p>
        </w:tc>
      </w:tr>
      <w:tr w14:paraId="0BE24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256B99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2022-150</w:t>
            </w:r>
          </w:p>
        </w:tc>
        <w:tc>
          <w:tcPr>
            <w:tcW w:w="5431" w:type="dxa"/>
            <w:shd w:val="clear" w:color="auto" w:fill="auto"/>
            <w:vAlign w:val="center"/>
          </w:tcPr>
          <w:p w14:paraId="507B87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文化自信视域下导游基础知识课程的“三教”改革路径研究</w:t>
            </w:r>
          </w:p>
        </w:tc>
        <w:tc>
          <w:tcPr>
            <w:tcW w:w="2869" w:type="dxa"/>
            <w:shd w:val="clear" w:color="auto" w:fill="auto"/>
            <w:vAlign w:val="center"/>
          </w:tcPr>
          <w:p w14:paraId="2FFDDA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缙云县职业中等专业学校</w:t>
            </w:r>
          </w:p>
        </w:tc>
        <w:tc>
          <w:tcPr>
            <w:tcW w:w="1281" w:type="dxa"/>
            <w:shd w:val="clear" w:color="auto" w:fill="auto"/>
            <w:noWrap/>
            <w:vAlign w:val="center"/>
          </w:tcPr>
          <w:p w14:paraId="0BFF39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赵莱妃</w:t>
            </w:r>
          </w:p>
        </w:tc>
        <w:tc>
          <w:tcPr>
            <w:tcW w:w="3680" w:type="dxa"/>
            <w:shd w:val="clear" w:color="auto" w:fill="auto"/>
            <w:vAlign w:val="center"/>
          </w:tcPr>
          <w:p w14:paraId="2FCF5B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沈民权、陈佳嫒（执笔）、张文、凌万里、杨君毅、刘可晗</w:t>
            </w:r>
          </w:p>
        </w:tc>
      </w:tr>
      <w:tr w14:paraId="62303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3B8FA2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2022-195</w:t>
            </w:r>
          </w:p>
        </w:tc>
        <w:tc>
          <w:tcPr>
            <w:tcW w:w="5431" w:type="dxa"/>
            <w:shd w:val="clear" w:color="auto" w:fill="auto"/>
            <w:vAlign w:val="center"/>
          </w:tcPr>
          <w:p w14:paraId="6573C3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老年人应急救护培训的教学的研究</w:t>
            </w:r>
          </w:p>
        </w:tc>
        <w:tc>
          <w:tcPr>
            <w:tcW w:w="2869" w:type="dxa"/>
            <w:shd w:val="clear" w:color="auto" w:fill="auto"/>
            <w:vAlign w:val="center"/>
          </w:tcPr>
          <w:p w14:paraId="47D78E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浙江开放大学德清学院</w:t>
            </w:r>
          </w:p>
        </w:tc>
        <w:tc>
          <w:tcPr>
            <w:tcW w:w="1281" w:type="dxa"/>
            <w:shd w:val="clear" w:color="auto" w:fill="auto"/>
            <w:noWrap/>
            <w:vAlign w:val="center"/>
          </w:tcPr>
          <w:p w14:paraId="2FA578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张剑苗</w:t>
            </w:r>
          </w:p>
        </w:tc>
        <w:tc>
          <w:tcPr>
            <w:tcW w:w="3680" w:type="dxa"/>
            <w:shd w:val="clear" w:color="auto" w:fill="auto"/>
            <w:vAlign w:val="center"/>
          </w:tcPr>
          <w:p w14:paraId="118DDD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张建明、刘婕、祝春标</w:t>
            </w:r>
          </w:p>
        </w:tc>
      </w:tr>
      <w:tr w14:paraId="411EA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2D147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2023-3</w:t>
            </w:r>
          </w:p>
        </w:tc>
        <w:tc>
          <w:tcPr>
            <w:tcW w:w="5431" w:type="dxa"/>
            <w:shd w:val="clear" w:color="auto" w:fill="auto"/>
            <w:vAlign w:val="center"/>
          </w:tcPr>
          <w:p w14:paraId="217CAA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基于技能大师工作室建设的职业院校“双师型”教师队伍素质提升研究</w:t>
            </w:r>
          </w:p>
        </w:tc>
        <w:tc>
          <w:tcPr>
            <w:tcW w:w="2869" w:type="dxa"/>
            <w:shd w:val="clear" w:color="auto" w:fill="auto"/>
            <w:vAlign w:val="center"/>
          </w:tcPr>
          <w:p w14:paraId="5FF882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浙江药科职业大学</w:t>
            </w:r>
          </w:p>
        </w:tc>
        <w:tc>
          <w:tcPr>
            <w:tcW w:w="1281" w:type="dxa"/>
            <w:shd w:val="clear" w:color="auto" w:fill="auto"/>
            <w:vAlign w:val="center"/>
          </w:tcPr>
          <w:p w14:paraId="30BECD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蔡伟</w:t>
            </w:r>
          </w:p>
        </w:tc>
        <w:tc>
          <w:tcPr>
            <w:tcW w:w="3680" w:type="dxa"/>
            <w:shd w:val="clear" w:color="auto" w:fill="auto"/>
            <w:vAlign w:val="center"/>
          </w:tcPr>
          <w:p w14:paraId="1771A3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沈燕丽、花慧、夏苗芬、沙秀秀、徐磊、吉薇薇</w:t>
            </w:r>
          </w:p>
        </w:tc>
      </w:tr>
      <w:tr w14:paraId="39265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2546D7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2023-11</w:t>
            </w:r>
          </w:p>
        </w:tc>
        <w:tc>
          <w:tcPr>
            <w:tcW w:w="5431" w:type="dxa"/>
            <w:shd w:val="clear" w:color="auto" w:fill="auto"/>
            <w:vAlign w:val="center"/>
          </w:tcPr>
          <w:p w14:paraId="6130C6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乡村振兴背景下高职公共英语课程设计改革探索</w:t>
            </w:r>
          </w:p>
        </w:tc>
        <w:tc>
          <w:tcPr>
            <w:tcW w:w="2869" w:type="dxa"/>
            <w:shd w:val="clear" w:color="auto" w:fill="auto"/>
            <w:vAlign w:val="center"/>
          </w:tcPr>
          <w:p w14:paraId="1B553B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浙江长征职业技术学院</w:t>
            </w:r>
          </w:p>
        </w:tc>
        <w:tc>
          <w:tcPr>
            <w:tcW w:w="1281" w:type="dxa"/>
            <w:shd w:val="clear" w:color="auto" w:fill="auto"/>
            <w:vAlign w:val="center"/>
          </w:tcPr>
          <w:p w14:paraId="2E7C7D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黄喆</w:t>
            </w:r>
          </w:p>
        </w:tc>
        <w:tc>
          <w:tcPr>
            <w:tcW w:w="3680" w:type="dxa"/>
            <w:shd w:val="clear" w:color="auto" w:fill="auto"/>
            <w:vAlign w:val="center"/>
          </w:tcPr>
          <w:p w14:paraId="53BB37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李春辉、赵素君、金春燕、赵舒逸、黄汇婕</w:t>
            </w:r>
          </w:p>
        </w:tc>
      </w:tr>
      <w:tr w14:paraId="35F89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289" w:type="dxa"/>
            <w:shd w:val="clear" w:color="auto" w:fill="auto"/>
            <w:noWrap/>
            <w:vAlign w:val="center"/>
          </w:tcPr>
          <w:p w14:paraId="3B73F0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2023-12</w:t>
            </w:r>
          </w:p>
        </w:tc>
        <w:tc>
          <w:tcPr>
            <w:tcW w:w="5431" w:type="dxa"/>
            <w:shd w:val="clear" w:color="auto" w:fill="auto"/>
            <w:vAlign w:val="center"/>
          </w:tcPr>
          <w:p w14:paraId="797975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新媒体赋能高职旅游专业高质量人才培养路径研究——以浙江长征职业技术学院为例</w:t>
            </w:r>
          </w:p>
        </w:tc>
        <w:tc>
          <w:tcPr>
            <w:tcW w:w="2869" w:type="dxa"/>
            <w:shd w:val="clear" w:color="auto" w:fill="auto"/>
            <w:vAlign w:val="center"/>
          </w:tcPr>
          <w:p w14:paraId="43CB74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浙江长征职业技术学院</w:t>
            </w:r>
          </w:p>
        </w:tc>
        <w:tc>
          <w:tcPr>
            <w:tcW w:w="1281" w:type="dxa"/>
            <w:shd w:val="clear" w:color="auto" w:fill="auto"/>
            <w:vAlign w:val="center"/>
          </w:tcPr>
          <w:p w14:paraId="7CFBE4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卫履凡</w:t>
            </w:r>
          </w:p>
        </w:tc>
        <w:tc>
          <w:tcPr>
            <w:tcW w:w="3680" w:type="dxa"/>
            <w:shd w:val="clear" w:color="auto" w:fill="auto"/>
            <w:vAlign w:val="center"/>
          </w:tcPr>
          <w:p w14:paraId="50FD02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骆王丽、吴小川、沈园元、庞丽新</w:t>
            </w:r>
          </w:p>
        </w:tc>
      </w:tr>
      <w:tr w14:paraId="2808D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289" w:type="dxa"/>
            <w:shd w:val="clear" w:color="auto" w:fill="auto"/>
            <w:noWrap/>
            <w:vAlign w:val="center"/>
          </w:tcPr>
          <w:p w14:paraId="511CB7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2023-26</w:t>
            </w:r>
          </w:p>
        </w:tc>
        <w:tc>
          <w:tcPr>
            <w:tcW w:w="5431" w:type="dxa"/>
            <w:shd w:val="clear" w:color="auto" w:fill="auto"/>
            <w:vAlign w:val="center"/>
          </w:tcPr>
          <w:p w14:paraId="4001B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“大思政课”视域下中高职思政课一体化协同育人模式研究</w:t>
            </w:r>
          </w:p>
        </w:tc>
        <w:tc>
          <w:tcPr>
            <w:tcW w:w="2869" w:type="dxa"/>
            <w:shd w:val="clear" w:color="auto" w:fill="auto"/>
            <w:vAlign w:val="center"/>
          </w:tcPr>
          <w:p w14:paraId="2F631C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c>
          <w:tcPr>
            <w:tcW w:w="1281" w:type="dxa"/>
            <w:shd w:val="clear" w:color="auto" w:fill="auto"/>
            <w:vAlign w:val="center"/>
          </w:tcPr>
          <w:p w14:paraId="0D3334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朱佩伦</w:t>
            </w:r>
          </w:p>
        </w:tc>
        <w:tc>
          <w:tcPr>
            <w:tcW w:w="3680" w:type="dxa"/>
            <w:shd w:val="clear" w:color="auto" w:fill="auto"/>
            <w:vAlign w:val="center"/>
          </w:tcPr>
          <w:p w14:paraId="6F787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戴伟、牛涛、田乙惠</w:t>
            </w:r>
          </w:p>
        </w:tc>
      </w:tr>
      <w:tr w14:paraId="24FB9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289" w:type="dxa"/>
            <w:shd w:val="clear" w:color="auto" w:fill="auto"/>
            <w:noWrap/>
            <w:vAlign w:val="center"/>
          </w:tcPr>
          <w:p w14:paraId="55E6A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2023-32</w:t>
            </w:r>
          </w:p>
        </w:tc>
        <w:tc>
          <w:tcPr>
            <w:tcW w:w="5431" w:type="dxa"/>
            <w:shd w:val="clear" w:color="auto" w:fill="auto"/>
            <w:vAlign w:val="center"/>
          </w:tcPr>
          <w:p w14:paraId="0DBDC4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新时代高职院校中药学专业劳动教育育人体系的构建研究</w:t>
            </w:r>
          </w:p>
        </w:tc>
        <w:tc>
          <w:tcPr>
            <w:tcW w:w="2869" w:type="dxa"/>
            <w:shd w:val="clear" w:color="auto" w:fill="auto"/>
            <w:vAlign w:val="center"/>
          </w:tcPr>
          <w:p w14:paraId="095F83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宁波卫生职业技术学院</w:t>
            </w:r>
          </w:p>
        </w:tc>
        <w:tc>
          <w:tcPr>
            <w:tcW w:w="1281" w:type="dxa"/>
            <w:shd w:val="clear" w:color="auto" w:fill="auto"/>
            <w:vAlign w:val="center"/>
          </w:tcPr>
          <w:p w14:paraId="0059B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张海丰</w:t>
            </w:r>
          </w:p>
        </w:tc>
        <w:tc>
          <w:tcPr>
            <w:tcW w:w="3680" w:type="dxa"/>
            <w:shd w:val="clear" w:color="auto" w:fill="auto"/>
            <w:vAlign w:val="center"/>
          </w:tcPr>
          <w:p w14:paraId="3788F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滕坤、王燕、许皖、尤伟静</w:t>
            </w:r>
          </w:p>
        </w:tc>
      </w:tr>
      <w:tr w14:paraId="43D03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0" w:hRule="atLeast"/>
        </w:trPr>
        <w:tc>
          <w:tcPr>
            <w:tcW w:w="1289" w:type="dxa"/>
            <w:shd w:val="clear" w:color="auto" w:fill="auto"/>
            <w:noWrap/>
            <w:vAlign w:val="center"/>
          </w:tcPr>
          <w:p w14:paraId="6BDFD6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2023-36</w:t>
            </w:r>
          </w:p>
        </w:tc>
        <w:tc>
          <w:tcPr>
            <w:tcW w:w="5431" w:type="dxa"/>
            <w:shd w:val="clear" w:color="auto" w:fill="auto"/>
            <w:vAlign w:val="center"/>
          </w:tcPr>
          <w:p w14:paraId="0D1F4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五育融合视域下高职学生全面发展培养路径研究</w:t>
            </w:r>
          </w:p>
        </w:tc>
        <w:tc>
          <w:tcPr>
            <w:tcW w:w="2869" w:type="dxa"/>
            <w:shd w:val="clear" w:color="auto" w:fill="auto"/>
            <w:noWrap/>
            <w:vAlign w:val="center"/>
          </w:tcPr>
          <w:p w14:paraId="16E38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台州科技职业学院</w:t>
            </w:r>
          </w:p>
        </w:tc>
        <w:tc>
          <w:tcPr>
            <w:tcW w:w="1281" w:type="dxa"/>
            <w:shd w:val="clear" w:color="auto" w:fill="auto"/>
            <w:noWrap/>
            <w:vAlign w:val="center"/>
          </w:tcPr>
          <w:p w14:paraId="654D8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卢奔宇</w:t>
            </w:r>
          </w:p>
        </w:tc>
        <w:tc>
          <w:tcPr>
            <w:tcW w:w="3680" w:type="dxa"/>
            <w:shd w:val="clear" w:color="auto" w:fill="auto"/>
            <w:vAlign w:val="center"/>
          </w:tcPr>
          <w:p w14:paraId="339EDB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王秀萍、陈俊锋、徐伟强</w:t>
            </w:r>
          </w:p>
        </w:tc>
      </w:tr>
      <w:tr w14:paraId="438DD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289" w:type="dxa"/>
            <w:shd w:val="clear" w:color="auto" w:fill="auto"/>
            <w:vAlign w:val="center"/>
          </w:tcPr>
          <w:p w14:paraId="3AED17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2023-46</w:t>
            </w:r>
          </w:p>
        </w:tc>
        <w:tc>
          <w:tcPr>
            <w:tcW w:w="5431" w:type="dxa"/>
            <w:shd w:val="clear" w:color="auto" w:fill="auto"/>
            <w:vAlign w:val="center"/>
          </w:tcPr>
          <w:p w14:paraId="76E090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产教融合视域下烹饪专业终身教育支持路径探究——以浙江农业商贸职业学院旅游烹饪系为例</w:t>
            </w:r>
          </w:p>
        </w:tc>
        <w:tc>
          <w:tcPr>
            <w:tcW w:w="2869" w:type="dxa"/>
            <w:shd w:val="clear" w:color="auto" w:fill="auto"/>
            <w:vAlign w:val="center"/>
          </w:tcPr>
          <w:p w14:paraId="1606DC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浙江农业商贸职业学院</w:t>
            </w:r>
          </w:p>
        </w:tc>
        <w:tc>
          <w:tcPr>
            <w:tcW w:w="1281" w:type="dxa"/>
            <w:shd w:val="clear" w:color="auto" w:fill="auto"/>
            <w:vAlign w:val="center"/>
          </w:tcPr>
          <w:p w14:paraId="431CD3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杨骞</w:t>
            </w:r>
          </w:p>
        </w:tc>
        <w:tc>
          <w:tcPr>
            <w:tcW w:w="3680" w:type="dxa"/>
            <w:shd w:val="clear" w:color="auto" w:fill="auto"/>
            <w:vAlign w:val="center"/>
          </w:tcPr>
          <w:p w14:paraId="7AFFC2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杜涵、李洋、邢春蕾、韩如雁、柴林</w:t>
            </w:r>
          </w:p>
        </w:tc>
      </w:tr>
      <w:tr w14:paraId="7EBA1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289" w:type="dxa"/>
            <w:shd w:val="clear" w:color="auto" w:fill="auto"/>
            <w:noWrap/>
            <w:vAlign w:val="center"/>
          </w:tcPr>
          <w:p w14:paraId="067592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2023-48</w:t>
            </w:r>
          </w:p>
        </w:tc>
        <w:tc>
          <w:tcPr>
            <w:tcW w:w="5431" w:type="dxa"/>
            <w:shd w:val="clear" w:color="auto" w:fill="auto"/>
            <w:vAlign w:val="center"/>
          </w:tcPr>
          <w:p w14:paraId="19B785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双师型教师在职业教育和成人教育中的角色分析研究</w:t>
            </w:r>
          </w:p>
        </w:tc>
        <w:tc>
          <w:tcPr>
            <w:tcW w:w="2869" w:type="dxa"/>
            <w:shd w:val="clear" w:color="auto" w:fill="auto"/>
            <w:vAlign w:val="center"/>
          </w:tcPr>
          <w:p w14:paraId="103932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浙江金华科贸职业技术学院</w:t>
            </w:r>
          </w:p>
        </w:tc>
        <w:tc>
          <w:tcPr>
            <w:tcW w:w="1281" w:type="dxa"/>
            <w:shd w:val="clear" w:color="auto" w:fill="auto"/>
            <w:vAlign w:val="center"/>
          </w:tcPr>
          <w:p w14:paraId="7D2895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沈伊诺</w:t>
            </w:r>
          </w:p>
        </w:tc>
        <w:tc>
          <w:tcPr>
            <w:tcW w:w="3680" w:type="dxa"/>
            <w:shd w:val="clear" w:color="auto" w:fill="auto"/>
            <w:vAlign w:val="center"/>
          </w:tcPr>
          <w:p w14:paraId="0A614B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张紫娟、赵彬</w:t>
            </w:r>
          </w:p>
        </w:tc>
      </w:tr>
      <w:tr w14:paraId="5782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289" w:type="dxa"/>
            <w:shd w:val="clear" w:color="auto" w:fill="auto"/>
            <w:noWrap/>
            <w:vAlign w:val="center"/>
          </w:tcPr>
          <w:p w14:paraId="17B0D3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2023-49</w:t>
            </w:r>
          </w:p>
        </w:tc>
        <w:tc>
          <w:tcPr>
            <w:tcW w:w="5431" w:type="dxa"/>
            <w:shd w:val="clear" w:color="auto" w:fill="auto"/>
            <w:vAlign w:val="center"/>
          </w:tcPr>
          <w:p w14:paraId="3F539F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工业4.0时代背景下混合所有制产业学院内部治理结构研究——基于海天智能装备产业学院的实践探索</w:t>
            </w:r>
          </w:p>
        </w:tc>
        <w:tc>
          <w:tcPr>
            <w:tcW w:w="2869" w:type="dxa"/>
            <w:shd w:val="clear" w:color="auto" w:fill="auto"/>
            <w:vAlign w:val="center"/>
          </w:tcPr>
          <w:p w14:paraId="13F2C9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宁波职业技术学院</w:t>
            </w:r>
          </w:p>
        </w:tc>
        <w:tc>
          <w:tcPr>
            <w:tcW w:w="1281" w:type="dxa"/>
            <w:shd w:val="clear" w:color="auto" w:fill="auto"/>
            <w:vAlign w:val="center"/>
          </w:tcPr>
          <w:p w14:paraId="6A63C1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张晓亮</w:t>
            </w:r>
          </w:p>
        </w:tc>
        <w:tc>
          <w:tcPr>
            <w:tcW w:w="3680" w:type="dxa"/>
            <w:shd w:val="clear" w:color="auto" w:fill="auto"/>
            <w:vAlign w:val="center"/>
          </w:tcPr>
          <w:p w14:paraId="7C89EB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翟志永、邱耀、陈兴、郭华恬</w:t>
            </w:r>
          </w:p>
        </w:tc>
      </w:tr>
      <w:tr w14:paraId="2370F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6D9A0A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2023-60</w:t>
            </w:r>
          </w:p>
        </w:tc>
        <w:tc>
          <w:tcPr>
            <w:tcW w:w="5431" w:type="dxa"/>
            <w:shd w:val="clear" w:color="auto" w:fill="auto"/>
            <w:vAlign w:val="center"/>
          </w:tcPr>
          <w:p w14:paraId="3111B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教育数字化转型背景下技师学院学生数字素养的框架模型研究</w:t>
            </w:r>
          </w:p>
        </w:tc>
        <w:tc>
          <w:tcPr>
            <w:tcW w:w="2869" w:type="dxa"/>
            <w:shd w:val="clear" w:color="auto" w:fill="auto"/>
            <w:vAlign w:val="center"/>
          </w:tcPr>
          <w:p w14:paraId="04EA34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浙江公路技师学院</w:t>
            </w:r>
          </w:p>
        </w:tc>
        <w:tc>
          <w:tcPr>
            <w:tcW w:w="1281" w:type="dxa"/>
            <w:shd w:val="clear" w:color="auto" w:fill="auto"/>
            <w:vAlign w:val="center"/>
          </w:tcPr>
          <w:p w14:paraId="61D144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张瑞娟</w:t>
            </w:r>
          </w:p>
        </w:tc>
        <w:tc>
          <w:tcPr>
            <w:tcW w:w="3680" w:type="dxa"/>
            <w:shd w:val="clear" w:color="auto" w:fill="auto"/>
            <w:vAlign w:val="center"/>
          </w:tcPr>
          <w:p w14:paraId="13FF5E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叶小燕、王海军、张贯虹、曹芳英</w:t>
            </w:r>
          </w:p>
        </w:tc>
      </w:tr>
      <w:tr w14:paraId="430CA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9" w:hRule="atLeast"/>
        </w:trPr>
        <w:tc>
          <w:tcPr>
            <w:tcW w:w="1289" w:type="dxa"/>
            <w:shd w:val="clear" w:color="auto" w:fill="auto"/>
            <w:noWrap/>
            <w:vAlign w:val="center"/>
          </w:tcPr>
          <w:p w14:paraId="353FF2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2023-64</w:t>
            </w:r>
          </w:p>
        </w:tc>
        <w:tc>
          <w:tcPr>
            <w:tcW w:w="5431" w:type="dxa"/>
            <w:shd w:val="clear" w:color="auto" w:fill="auto"/>
            <w:vAlign w:val="center"/>
          </w:tcPr>
          <w:p w14:paraId="5BC0C8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技术解码，专产前置：钳工实训课堂的创新实践</w:t>
            </w:r>
          </w:p>
        </w:tc>
        <w:tc>
          <w:tcPr>
            <w:tcW w:w="2869" w:type="dxa"/>
            <w:shd w:val="clear" w:color="auto" w:fill="auto"/>
            <w:vAlign w:val="center"/>
          </w:tcPr>
          <w:p w14:paraId="2B1D36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杭州市临平职业高级中学（杭州市临平技工学校）</w:t>
            </w:r>
          </w:p>
        </w:tc>
        <w:tc>
          <w:tcPr>
            <w:tcW w:w="1281" w:type="dxa"/>
            <w:shd w:val="clear" w:color="auto" w:fill="auto"/>
            <w:vAlign w:val="center"/>
          </w:tcPr>
          <w:p w14:paraId="1C41BE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丁超</w:t>
            </w:r>
          </w:p>
        </w:tc>
        <w:tc>
          <w:tcPr>
            <w:tcW w:w="3680" w:type="dxa"/>
            <w:shd w:val="clear" w:color="auto" w:fill="auto"/>
            <w:vAlign w:val="center"/>
          </w:tcPr>
          <w:p w14:paraId="009145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王岗、周超、莫国强（执笔）、叶赟、何饶峰、李良艺</w:t>
            </w:r>
          </w:p>
        </w:tc>
      </w:tr>
      <w:tr w14:paraId="6A6D1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12435E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2023-111</w:t>
            </w:r>
          </w:p>
        </w:tc>
        <w:tc>
          <w:tcPr>
            <w:tcW w:w="5431" w:type="dxa"/>
            <w:shd w:val="clear" w:color="auto" w:fill="auto"/>
            <w:vAlign w:val="center"/>
          </w:tcPr>
          <w:p w14:paraId="6C2C51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迭代升级：产教融合视域下未来导游的新养成研究</w:t>
            </w:r>
          </w:p>
        </w:tc>
        <w:tc>
          <w:tcPr>
            <w:tcW w:w="2869" w:type="dxa"/>
            <w:shd w:val="clear" w:color="auto" w:fill="auto"/>
            <w:vAlign w:val="center"/>
          </w:tcPr>
          <w:p w14:paraId="7039AA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浙江科技工程学校</w:t>
            </w:r>
          </w:p>
        </w:tc>
        <w:tc>
          <w:tcPr>
            <w:tcW w:w="1281" w:type="dxa"/>
            <w:shd w:val="clear" w:color="auto" w:fill="auto"/>
            <w:vAlign w:val="center"/>
          </w:tcPr>
          <w:p w14:paraId="04F7F9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沈民权</w:t>
            </w:r>
          </w:p>
        </w:tc>
        <w:tc>
          <w:tcPr>
            <w:tcW w:w="3680" w:type="dxa"/>
            <w:shd w:val="clear" w:color="auto" w:fill="auto"/>
            <w:vAlign w:val="center"/>
          </w:tcPr>
          <w:p w14:paraId="562036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杨君毅（执笔）、张文、凌万里、沈佳婷、桑晓磊</w:t>
            </w:r>
          </w:p>
        </w:tc>
      </w:tr>
      <w:tr w14:paraId="066F5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4D0DE1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2023-117</w:t>
            </w:r>
          </w:p>
        </w:tc>
        <w:tc>
          <w:tcPr>
            <w:tcW w:w="5431" w:type="dxa"/>
            <w:shd w:val="clear" w:color="auto" w:fill="auto"/>
            <w:vAlign w:val="center"/>
          </w:tcPr>
          <w:p w14:paraId="6471CD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文化自信视域下中职中药“活态传承”育人路径</w:t>
            </w:r>
          </w:p>
        </w:tc>
        <w:tc>
          <w:tcPr>
            <w:tcW w:w="2869" w:type="dxa"/>
            <w:shd w:val="clear" w:color="auto" w:fill="auto"/>
            <w:vAlign w:val="center"/>
          </w:tcPr>
          <w:p w14:paraId="13A078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海宁卫生学校</w:t>
            </w:r>
          </w:p>
        </w:tc>
        <w:tc>
          <w:tcPr>
            <w:tcW w:w="1281" w:type="dxa"/>
            <w:shd w:val="clear" w:color="auto" w:fill="auto"/>
            <w:vAlign w:val="center"/>
          </w:tcPr>
          <w:p w14:paraId="3F36C1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姚婷</w:t>
            </w:r>
          </w:p>
        </w:tc>
        <w:tc>
          <w:tcPr>
            <w:tcW w:w="3680" w:type="dxa"/>
            <w:shd w:val="clear" w:color="auto" w:fill="auto"/>
            <w:vAlign w:val="center"/>
          </w:tcPr>
          <w:p w14:paraId="317805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沈孝丽、刘海霞、李旸、罗靖、张虹</w:t>
            </w:r>
          </w:p>
        </w:tc>
      </w:tr>
      <w:tr w14:paraId="3D43A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10ACC0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2023-132</w:t>
            </w:r>
          </w:p>
        </w:tc>
        <w:tc>
          <w:tcPr>
            <w:tcW w:w="5431" w:type="dxa"/>
            <w:shd w:val="clear" w:color="auto" w:fill="auto"/>
            <w:vAlign w:val="center"/>
          </w:tcPr>
          <w:p w14:paraId="44F12B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服务于乡村振兴和共同富裕的中职电商专业数字技能型人才培育策略研究</w:t>
            </w:r>
          </w:p>
        </w:tc>
        <w:tc>
          <w:tcPr>
            <w:tcW w:w="2869" w:type="dxa"/>
            <w:shd w:val="clear" w:color="auto" w:fill="auto"/>
            <w:vAlign w:val="center"/>
          </w:tcPr>
          <w:p w14:paraId="5BF520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浙江信息工程学校</w:t>
            </w:r>
          </w:p>
        </w:tc>
        <w:tc>
          <w:tcPr>
            <w:tcW w:w="1281" w:type="dxa"/>
            <w:shd w:val="clear" w:color="auto" w:fill="auto"/>
            <w:vAlign w:val="center"/>
          </w:tcPr>
          <w:p w14:paraId="268E37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宋海鸥</w:t>
            </w:r>
          </w:p>
        </w:tc>
        <w:tc>
          <w:tcPr>
            <w:tcW w:w="3680" w:type="dxa"/>
            <w:shd w:val="clear" w:color="auto" w:fill="auto"/>
            <w:vAlign w:val="center"/>
          </w:tcPr>
          <w:p w14:paraId="41611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费铮杰（执笔）、朱胜波、李诗、杨登香、李真</w:t>
            </w:r>
          </w:p>
        </w:tc>
      </w:tr>
      <w:tr w14:paraId="18F59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4" w:hRule="atLeast"/>
        </w:trPr>
        <w:tc>
          <w:tcPr>
            <w:tcW w:w="1289" w:type="dxa"/>
            <w:shd w:val="clear" w:color="auto" w:fill="auto"/>
            <w:noWrap/>
            <w:vAlign w:val="center"/>
          </w:tcPr>
          <w:p w14:paraId="117A97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2023-139</w:t>
            </w:r>
          </w:p>
        </w:tc>
        <w:tc>
          <w:tcPr>
            <w:tcW w:w="5431" w:type="dxa"/>
            <w:shd w:val="clear" w:color="auto" w:fill="auto"/>
            <w:vAlign w:val="center"/>
          </w:tcPr>
          <w:p w14:paraId="380A00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工学一体化视角下中职数控车工作页的开发与实践研究</w:t>
            </w:r>
          </w:p>
        </w:tc>
        <w:tc>
          <w:tcPr>
            <w:tcW w:w="2869" w:type="dxa"/>
            <w:shd w:val="clear" w:color="auto" w:fill="auto"/>
            <w:vAlign w:val="center"/>
          </w:tcPr>
          <w:p w14:paraId="125CE0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c>
          <w:tcPr>
            <w:tcW w:w="1281" w:type="dxa"/>
            <w:shd w:val="clear" w:color="auto" w:fill="auto"/>
            <w:vAlign w:val="center"/>
          </w:tcPr>
          <w:p w14:paraId="50A96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朱祖强</w:t>
            </w:r>
          </w:p>
        </w:tc>
        <w:tc>
          <w:tcPr>
            <w:tcW w:w="3680" w:type="dxa"/>
            <w:shd w:val="clear" w:color="auto" w:fill="auto"/>
            <w:vAlign w:val="center"/>
          </w:tcPr>
          <w:p w14:paraId="4D9CB2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吴铮（执笔）、施国扣、张昱平、胡晓锋、陈鸿叔、徐中辉、王颖斌</w:t>
            </w:r>
          </w:p>
        </w:tc>
      </w:tr>
      <w:tr w14:paraId="49C4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35E79D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2023-141</w:t>
            </w:r>
          </w:p>
        </w:tc>
        <w:tc>
          <w:tcPr>
            <w:tcW w:w="5431" w:type="dxa"/>
            <w:shd w:val="clear" w:color="auto" w:fill="auto"/>
            <w:vAlign w:val="center"/>
          </w:tcPr>
          <w:p w14:paraId="76FF77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“产教融合+群内融通”下现代商贸高水平专业群人才培养路径的实践与探究</w:t>
            </w:r>
          </w:p>
        </w:tc>
        <w:tc>
          <w:tcPr>
            <w:tcW w:w="2869" w:type="dxa"/>
            <w:shd w:val="clear" w:color="auto" w:fill="auto"/>
            <w:vAlign w:val="center"/>
          </w:tcPr>
          <w:p w14:paraId="007B09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长兴技师学院</w:t>
            </w:r>
          </w:p>
        </w:tc>
        <w:tc>
          <w:tcPr>
            <w:tcW w:w="1281" w:type="dxa"/>
            <w:shd w:val="clear" w:color="auto" w:fill="auto"/>
            <w:vAlign w:val="center"/>
          </w:tcPr>
          <w:p w14:paraId="3927E2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余奇</w:t>
            </w:r>
          </w:p>
        </w:tc>
        <w:tc>
          <w:tcPr>
            <w:tcW w:w="3680" w:type="dxa"/>
            <w:shd w:val="clear" w:color="auto" w:fill="auto"/>
            <w:vAlign w:val="center"/>
          </w:tcPr>
          <w:p w14:paraId="70695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葛形形、鄢甜甜、朱卫坚、陈敏敏</w:t>
            </w:r>
          </w:p>
        </w:tc>
      </w:tr>
      <w:tr w14:paraId="221AB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4A42E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2023-145</w:t>
            </w:r>
          </w:p>
        </w:tc>
        <w:tc>
          <w:tcPr>
            <w:tcW w:w="5431" w:type="dxa"/>
            <w:shd w:val="clear" w:color="auto" w:fill="auto"/>
            <w:noWrap/>
            <w:vAlign w:val="center"/>
          </w:tcPr>
          <w:p w14:paraId="2AACD9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三全育人背景下五育并举的积极育人教学技能提升实践研究</w:t>
            </w:r>
          </w:p>
        </w:tc>
        <w:tc>
          <w:tcPr>
            <w:tcW w:w="2869" w:type="dxa"/>
            <w:shd w:val="clear" w:color="auto" w:fill="auto"/>
            <w:noWrap/>
            <w:vAlign w:val="center"/>
          </w:tcPr>
          <w:p w14:paraId="58201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绍兴艺术学校</w:t>
            </w:r>
          </w:p>
        </w:tc>
        <w:tc>
          <w:tcPr>
            <w:tcW w:w="1281" w:type="dxa"/>
            <w:shd w:val="clear" w:color="auto" w:fill="auto"/>
            <w:noWrap/>
            <w:vAlign w:val="center"/>
          </w:tcPr>
          <w:p w14:paraId="30A03F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周珊珊</w:t>
            </w:r>
          </w:p>
        </w:tc>
        <w:tc>
          <w:tcPr>
            <w:tcW w:w="3680" w:type="dxa"/>
            <w:shd w:val="clear" w:color="auto" w:fill="auto"/>
            <w:vAlign w:val="center"/>
          </w:tcPr>
          <w:p w14:paraId="536209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张攀攀、刘翔、何晓丽、劳炳杏、俞香芬、杨晓燕</w:t>
            </w:r>
          </w:p>
        </w:tc>
      </w:tr>
      <w:tr w14:paraId="48BE2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03679E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2023-171</w:t>
            </w:r>
          </w:p>
        </w:tc>
        <w:tc>
          <w:tcPr>
            <w:tcW w:w="5431" w:type="dxa"/>
            <w:shd w:val="clear" w:color="auto" w:fill="auto"/>
            <w:vAlign w:val="center"/>
          </w:tcPr>
          <w:p w14:paraId="593F4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基于OBE理念的中职学前教育专业教学标准建设研究——以“中本一体化”学制中音乐教学标准为例</w:t>
            </w:r>
          </w:p>
        </w:tc>
        <w:tc>
          <w:tcPr>
            <w:tcW w:w="2869" w:type="dxa"/>
            <w:shd w:val="clear" w:color="auto" w:fill="auto"/>
            <w:vAlign w:val="center"/>
          </w:tcPr>
          <w:p w14:paraId="13BCDB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义乌市国际商贸学校</w:t>
            </w:r>
          </w:p>
        </w:tc>
        <w:tc>
          <w:tcPr>
            <w:tcW w:w="1281" w:type="dxa"/>
            <w:shd w:val="clear" w:color="auto" w:fill="auto"/>
            <w:vAlign w:val="center"/>
          </w:tcPr>
          <w:p w14:paraId="0198FA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方蔚</w:t>
            </w:r>
          </w:p>
        </w:tc>
        <w:tc>
          <w:tcPr>
            <w:tcW w:w="3680" w:type="dxa"/>
            <w:shd w:val="clear" w:color="auto" w:fill="auto"/>
            <w:vAlign w:val="center"/>
          </w:tcPr>
          <w:p w14:paraId="5332A7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蒋东格（执笔）、李秋莎、李梦思、宋妍</w:t>
            </w:r>
          </w:p>
        </w:tc>
      </w:tr>
      <w:tr w14:paraId="519F0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1D5BA4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2023-173</w:t>
            </w:r>
          </w:p>
        </w:tc>
        <w:tc>
          <w:tcPr>
            <w:tcW w:w="5431" w:type="dxa"/>
            <w:shd w:val="clear" w:color="auto" w:fill="auto"/>
            <w:vAlign w:val="center"/>
          </w:tcPr>
          <w:p w14:paraId="62522B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基于“五链场”的中职设计加工人才培养模式研究</w:t>
            </w:r>
          </w:p>
        </w:tc>
        <w:tc>
          <w:tcPr>
            <w:tcW w:w="2869" w:type="dxa"/>
            <w:shd w:val="clear" w:color="auto" w:fill="auto"/>
            <w:vAlign w:val="center"/>
          </w:tcPr>
          <w:p w14:paraId="234BE9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兰溪市教育局教研室</w:t>
            </w:r>
          </w:p>
        </w:tc>
        <w:tc>
          <w:tcPr>
            <w:tcW w:w="1281" w:type="dxa"/>
            <w:shd w:val="clear" w:color="auto" w:fill="auto"/>
            <w:vAlign w:val="center"/>
          </w:tcPr>
          <w:p w14:paraId="0E327A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王长辉</w:t>
            </w:r>
          </w:p>
        </w:tc>
        <w:tc>
          <w:tcPr>
            <w:tcW w:w="3680" w:type="dxa"/>
            <w:shd w:val="clear" w:color="auto" w:fill="auto"/>
            <w:vAlign w:val="center"/>
          </w:tcPr>
          <w:p w14:paraId="33BBE0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李双彤（执笔）、张国红、叶成龙、邱子阳</w:t>
            </w:r>
          </w:p>
        </w:tc>
      </w:tr>
      <w:tr w14:paraId="688BF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0" w:hRule="atLeast"/>
        </w:trPr>
        <w:tc>
          <w:tcPr>
            <w:tcW w:w="1289" w:type="dxa"/>
            <w:shd w:val="clear" w:color="auto" w:fill="auto"/>
            <w:noWrap/>
            <w:vAlign w:val="center"/>
          </w:tcPr>
          <w:p w14:paraId="12C19C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2023-189</w:t>
            </w:r>
          </w:p>
        </w:tc>
        <w:tc>
          <w:tcPr>
            <w:tcW w:w="5431" w:type="dxa"/>
            <w:shd w:val="clear" w:color="auto" w:fill="auto"/>
            <w:vAlign w:val="center"/>
          </w:tcPr>
          <w:p w14:paraId="6E2F57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基于大概念的中职训练日志跨学科应用实践</w:t>
            </w:r>
          </w:p>
        </w:tc>
        <w:tc>
          <w:tcPr>
            <w:tcW w:w="2869" w:type="dxa"/>
            <w:shd w:val="clear" w:color="auto" w:fill="auto"/>
            <w:vAlign w:val="center"/>
          </w:tcPr>
          <w:p w14:paraId="289100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岱山县职业技术学校</w:t>
            </w:r>
          </w:p>
        </w:tc>
        <w:tc>
          <w:tcPr>
            <w:tcW w:w="1281" w:type="dxa"/>
            <w:shd w:val="clear" w:color="auto" w:fill="auto"/>
            <w:vAlign w:val="center"/>
          </w:tcPr>
          <w:p w14:paraId="7C629D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刘国华</w:t>
            </w:r>
          </w:p>
        </w:tc>
        <w:tc>
          <w:tcPr>
            <w:tcW w:w="3680" w:type="dxa"/>
            <w:shd w:val="clear" w:color="auto" w:fill="auto"/>
            <w:vAlign w:val="center"/>
          </w:tcPr>
          <w:p w14:paraId="303E9F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吴凯龙、王坚海、李建飞、周开平</w:t>
            </w:r>
          </w:p>
        </w:tc>
      </w:tr>
      <w:tr w14:paraId="552D1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445574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2023-215</w:t>
            </w:r>
          </w:p>
        </w:tc>
        <w:tc>
          <w:tcPr>
            <w:tcW w:w="5431" w:type="dxa"/>
            <w:shd w:val="clear" w:color="auto" w:fill="auto"/>
            <w:vAlign w:val="center"/>
          </w:tcPr>
          <w:p w14:paraId="40891B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偏远山区高素质农民培训助力和美乡村建设的实践研究</w:t>
            </w:r>
          </w:p>
        </w:tc>
        <w:tc>
          <w:tcPr>
            <w:tcW w:w="2869" w:type="dxa"/>
            <w:shd w:val="clear" w:color="auto" w:fill="auto"/>
            <w:vAlign w:val="center"/>
          </w:tcPr>
          <w:p w14:paraId="3A7A29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宁波市鄞州区塘溪镇成人文化技术学校</w:t>
            </w:r>
          </w:p>
        </w:tc>
        <w:tc>
          <w:tcPr>
            <w:tcW w:w="1281" w:type="dxa"/>
            <w:shd w:val="clear" w:color="auto" w:fill="auto"/>
            <w:noWrap/>
            <w:vAlign w:val="center"/>
          </w:tcPr>
          <w:p w14:paraId="569B5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柯国柱</w:t>
            </w:r>
          </w:p>
        </w:tc>
        <w:tc>
          <w:tcPr>
            <w:tcW w:w="3680" w:type="dxa"/>
            <w:shd w:val="clear" w:color="auto" w:fill="auto"/>
            <w:vAlign w:val="center"/>
          </w:tcPr>
          <w:p w14:paraId="747A4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徐显明、孙成刚、谢伟、冉艾、黄武忠、华远军</w:t>
            </w:r>
          </w:p>
        </w:tc>
      </w:tr>
      <w:tr w14:paraId="30C1C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09" w:hRule="atLeast"/>
        </w:trPr>
        <w:tc>
          <w:tcPr>
            <w:tcW w:w="1289" w:type="dxa"/>
            <w:shd w:val="clear" w:color="auto" w:fill="auto"/>
            <w:noWrap/>
            <w:vAlign w:val="center"/>
          </w:tcPr>
          <w:p w14:paraId="36C8DF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2023-217</w:t>
            </w:r>
          </w:p>
        </w:tc>
        <w:tc>
          <w:tcPr>
            <w:tcW w:w="5431" w:type="dxa"/>
            <w:shd w:val="clear" w:color="auto" w:fill="auto"/>
            <w:vAlign w:val="center"/>
          </w:tcPr>
          <w:p w14:paraId="57C3A9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基于协同创新理念的成人学校优秀科研团队建设路径研究</w:t>
            </w:r>
          </w:p>
        </w:tc>
        <w:tc>
          <w:tcPr>
            <w:tcW w:w="2869" w:type="dxa"/>
            <w:shd w:val="clear" w:color="auto" w:fill="auto"/>
            <w:vAlign w:val="center"/>
          </w:tcPr>
          <w:p w14:paraId="66014F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宁波市镇海区招宝山街道社区教育中心</w:t>
            </w:r>
          </w:p>
        </w:tc>
        <w:tc>
          <w:tcPr>
            <w:tcW w:w="1281" w:type="dxa"/>
            <w:shd w:val="clear" w:color="auto" w:fill="auto"/>
            <w:vAlign w:val="center"/>
          </w:tcPr>
          <w:p w14:paraId="59F156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诸海江</w:t>
            </w:r>
          </w:p>
        </w:tc>
        <w:tc>
          <w:tcPr>
            <w:tcW w:w="3680" w:type="dxa"/>
            <w:shd w:val="clear" w:color="auto" w:fill="auto"/>
            <w:vAlign w:val="center"/>
          </w:tcPr>
          <w:p w14:paraId="716626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刘奇华、严永均、徐立宏、罗彤彤、李苏维、郑芬芬、许静艳、邵蓓娜</w:t>
            </w:r>
          </w:p>
        </w:tc>
      </w:tr>
      <w:tr w14:paraId="0FE3A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7124EF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2023-219</w:t>
            </w:r>
          </w:p>
        </w:tc>
        <w:tc>
          <w:tcPr>
            <w:tcW w:w="5431" w:type="dxa"/>
            <w:shd w:val="clear" w:color="auto" w:fill="auto"/>
            <w:vAlign w:val="center"/>
          </w:tcPr>
          <w:p w14:paraId="43D4C0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“渔”兴乡村 研学传承：地域非遗课程开发助力乡村振兴的实践研究</w:t>
            </w:r>
          </w:p>
        </w:tc>
        <w:tc>
          <w:tcPr>
            <w:tcW w:w="2869" w:type="dxa"/>
            <w:shd w:val="clear" w:color="auto" w:fill="auto"/>
            <w:vAlign w:val="center"/>
          </w:tcPr>
          <w:p w14:paraId="2CC1D7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象山县社区学院</w:t>
            </w:r>
          </w:p>
        </w:tc>
        <w:tc>
          <w:tcPr>
            <w:tcW w:w="1281" w:type="dxa"/>
            <w:shd w:val="clear" w:color="auto" w:fill="auto"/>
            <w:vAlign w:val="center"/>
          </w:tcPr>
          <w:p w14:paraId="290A25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张荆萍</w:t>
            </w:r>
          </w:p>
        </w:tc>
        <w:tc>
          <w:tcPr>
            <w:tcW w:w="3680" w:type="dxa"/>
            <w:shd w:val="clear" w:color="auto" w:fill="auto"/>
            <w:vAlign w:val="center"/>
          </w:tcPr>
          <w:p w14:paraId="45E5FB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余亚娣（执笔）、吴旭光</w:t>
            </w:r>
          </w:p>
        </w:tc>
      </w:tr>
      <w:tr w14:paraId="21C0C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7A4A1D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2023-225</w:t>
            </w:r>
          </w:p>
        </w:tc>
        <w:tc>
          <w:tcPr>
            <w:tcW w:w="5431" w:type="dxa"/>
            <w:shd w:val="clear" w:color="auto" w:fill="auto"/>
            <w:vAlign w:val="center"/>
          </w:tcPr>
          <w:p w14:paraId="5A0E71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基于数字技术的婴幼儿成长测评研究</w:t>
            </w:r>
          </w:p>
        </w:tc>
        <w:tc>
          <w:tcPr>
            <w:tcW w:w="2869" w:type="dxa"/>
            <w:shd w:val="clear" w:color="auto" w:fill="auto"/>
            <w:vAlign w:val="center"/>
          </w:tcPr>
          <w:p w14:paraId="708D54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永嘉社区学院</w:t>
            </w:r>
          </w:p>
        </w:tc>
        <w:tc>
          <w:tcPr>
            <w:tcW w:w="1281" w:type="dxa"/>
            <w:shd w:val="clear" w:color="auto" w:fill="auto"/>
            <w:vAlign w:val="center"/>
          </w:tcPr>
          <w:p w14:paraId="6E4E9E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滕益清</w:t>
            </w:r>
          </w:p>
        </w:tc>
        <w:tc>
          <w:tcPr>
            <w:tcW w:w="3680" w:type="dxa"/>
            <w:shd w:val="clear" w:color="auto" w:fill="auto"/>
            <w:vAlign w:val="center"/>
          </w:tcPr>
          <w:p w14:paraId="049EA4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谢海丹（执笔）、章苗苗、于辉、张晓霞、翁志奔</w:t>
            </w:r>
          </w:p>
        </w:tc>
      </w:tr>
      <w:tr w14:paraId="79F40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3DD320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2023-236</w:t>
            </w:r>
          </w:p>
        </w:tc>
        <w:tc>
          <w:tcPr>
            <w:tcW w:w="5431" w:type="dxa"/>
            <w:shd w:val="clear" w:color="auto" w:fill="auto"/>
            <w:vAlign w:val="center"/>
          </w:tcPr>
          <w:p w14:paraId="030338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家庭场域下代际学习影响机制研究——以青少年心理健康为例</w:t>
            </w:r>
          </w:p>
        </w:tc>
        <w:tc>
          <w:tcPr>
            <w:tcW w:w="2869" w:type="dxa"/>
            <w:shd w:val="clear" w:color="auto" w:fill="auto"/>
            <w:vAlign w:val="center"/>
          </w:tcPr>
          <w:p w14:paraId="0CFA22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德清县武康街道成人文化技术学校</w:t>
            </w:r>
          </w:p>
        </w:tc>
        <w:tc>
          <w:tcPr>
            <w:tcW w:w="1281" w:type="dxa"/>
            <w:shd w:val="clear" w:color="auto" w:fill="auto"/>
            <w:noWrap/>
            <w:vAlign w:val="center"/>
          </w:tcPr>
          <w:p w14:paraId="427A97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潘芬儿</w:t>
            </w:r>
          </w:p>
        </w:tc>
        <w:tc>
          <w:tcPr>
            <w:tcW w:w="3680" w:type="dxa"/>
            <w:shd w:val="clear" w:color="auto" w:fill="auto"/>
            <w:vAlign w:val="center"/>
          </w:tcPr>
          <w:p w14:paraId="7B0F85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陈小龙（执笔）、金佩娟、张丹、沈友昌、王小信</w:t>
            </w:r>
          </w:p>
        </w:tc>
      </w:tr>
      <w:tr w14:paraId="6157A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4D4B85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2023-244</w:t>
            </w:r>
          </w:p>
        </w:tc>
        <w:tc>
          <w:tcPr>
            <w:tcW w:w="5431" w:type="dxa"/>
            <w:shd w:val="clear" w:color="auto" w:fill="auto"/>
            <w:vAlign w:val="center"/>
          </w:tcPr>
          <w:p w14:paraId="0D6E19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信息化社会背景下老年人智能技术应用能力提升的研究</w:t>
            </w:r>
          </w:p>
        </w:tc>
        <w:tc>
          <w:tcPr>
            <w:tcW w:w="2869" w:type="dxa"/>
            <w:shd w:val="clear" w:color="auto" w:fill="auto"/>
            <w:vAlign w:val="center"/>
          </w:tcPr>
          <w:p w14:paraId="52CC5B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龙游县社区学院</w:t>
            </w:r>
          </w:p>
        </w:tc>
        <w:tc>
          <w:tcPr>
            <w:tcW w:w="1281" w:type="dxa"/>
            <w:shd w:val="clear" w:color="auto" w:fill="auto"/>
            <w:noWrap/>
            <w:vAlign w:val="center"/>
          </w:tcPr>
          <w:p w14:paraId="10F117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姜柳新</w:t>
            </w:r>
          </w:p>
        </w:tc>
        <w:tc>
          <w:tcPr>
            <w:tcW w:w="3680" w:type="dxa"/>
            <w:shd w:val="clear" w:color="auto" w:fill="auto"/>
            <w:vAlign w:val="center"/>
          </w:tcPr>
          <w:p w14:paraId="4E0D7C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陈美楠、方云娟、钟志红、徐南燕</w:t>
            </w:r>
          </w:p>
        </w:tc>
      </w:tr>
      <w:tr w14:paraId="552F1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289" w:type="dxa"/>
            <w:shd w:val="clear" w:color="auto" w:fill="auto"/>
            <w:noWrap/>
            <w:vAlign w:val="center"/>
          </w:tcPr>
          <w:p w14:paraId="10BC10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2023-251</w:t>
            </w:r>
          </w:p>
        </w:tc>
        <w:tc>
          <w:tcPr>
            <w:tcW w:w="5431" w:type="dxa"/>
            <w:shd w:val="clear" w:color="auto" w:fill="auto"/>
            <w:vAlign w:val="center"/>
          </w:tcPr>
          <w:p w14:paraId="26747C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深入挖掘乡土资源，构建全新的农村社区教育场景</w:t>
            </w:r>
          </w:p>
        </w:tc>
        <w:tc>
          <w:tcPr>
            <w:tcW w:w="2869" w:type="dxa"/>
            <w:shd w:val="clear" w:color="auto" w:fill="auto"/>
            <w:vAlign w:val="center"/>
          </w:tcPr>
          <w:p w14:paraId="087B3B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浦江县前吴乡成人文化技术学校</w:t>
            </w:r>
          </w:p>
        </w:tc>
        <w:tc>
          <w:tcPr>
            <w:tcW w:w="1281" w:type="dxa"/>
            <w:shd w:val="clear" w:color="auto" w:fill="auto"/>
            <w:noWrap/>
            <w:vAlign w:val="center"/>
          </w:tcPr>
          <w:p w14:paraId="5D2CBB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王国刚</w:t>
            </w:r>
          </w:p>
        </w:tc>
        <w:tc>
          <w:tcPr>
            <w:tcW w:w="3680" w:type="dxa"/>
            <w:shd w:val="clear" w:color="auto" w:fill="auto"/>
            <w:vAlign w:val="center"/>
          </w:tcPr>
          <w:p w14:paraId="203CE5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肖亦炀（执笔）、周庆伟、张小蓉、刘秋霞</w:t>
            </w:r>
          </w:p>
        </w:tc>
      </w:tr>
      <w:tr w14:paraId="48EFB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29954E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2023-252</w:t>
            </w:r>
          </w:p>
        </w:tc>
        <w:tc>
          <w:tcPr>
            <w:tcW w:w="5431" w:type="dxa"/>
            <w:shd w:val="clear" w:color="auto" w:fill="auto"/>
            <w:vAlign w:val="center"/>
          </w:tcPr>
          <w:p w14:paraId="222707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社区教育服务全民终身学习的教育体系的研究——以培训网络智能购物，优化社区老年人生活质量为例</w:t>
            </w:r>
          </w:p>
        </w:tc>
        <w:tc>
          <w:tcPr>
            <w:tcW w:w="2869" w:type="dxa"/>
            <w:shd w:val="clear" w:color="auto" w:fill="auto"/>
            <w:vAlign w:val="center"/>
          </w:tcPr>
          <w:p w14:paraId="711B54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浦江县前吴乡成人文化技术学校</w:t>
            </w:r>
          </w:p>
        </w:tc>
        <w:tc>
          <w:tcPr>
            <w:tcW w:w="1281" w:type="dxa"/>
            <w:shd w:val="clear" w:color="auto" w:fill="auto"/>
            <w:noWrap/>
            <w:vAlign w:val="center"/>
          </w:tcPr>
          <w:p w14:paraId="723E74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周庆伟</w:t>
            </w:r>
          </w:p>
        </w:tc>
        <w:tc>
          <w:tcPr>
            <w:tcW w:w="3680" w:type="dxa"/>
            <w:shd w:val="clear" w:color="auto" w:fill="auto"/>
            <w:vAlign w:val="center"/>
          </w:tcPr>
          <w:p w14:paraId="0114D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郑娟（执笔）、王国刚、徐登宾、张晶晶、朱燕如</w:t>
            </w:r>
          </w:p>
        </w:tc>
      </w:tr>
      <w:tr w14:paraId="0FA8D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6EAC5A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2023-256</w:t>
            </w:r>
          </w:p>
        </w:tc>
        <w:tc>
          <w:tcPr>
            <w:tcW w:w="5431" w:type="dxa"/>
            <w:shd w:val="clear" w:color="auto" w:fill="auto"/>
            <w:vAlign w:val="center"/>
          </w:tcPr>
          <w:p w14:paraId="23C849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智能化老年课堂“三阶四维”教育服务模式研究——以金华老年开放大学为例</w:t>
            </w:r>
          </w:p>
        </w:tc>
        <w:tc>
          <w:tcPr>
            <w:tcW w:w="2869" w:type="dxa"/>
            <w:shd w:val="clear" w:color="auto" w:fill="auto"/>
            <w:vAlign w:val="center"/>
          </w:tcPr>
          <w:p w14:paraId="75DFD4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金华开放大学</w:t>
            </w:r>
          </w:p>
        </w:tc>
        <w:tc>
          <w:tcPr>
            <w:tcW w:w="1281" w:type="dxa"/>
            <w:shd w:val="clear" w:color="auto" w:fill="auto"/>
            <w:vAlign w:val="center"/>
          </w:tcPr>
          <w:p w14:paraId="3E0E2C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董梁</w:t>
            </w:r>
          </w:p>
        </w:tc>
        <w:tc>
          <w:tcPr>
            <w:tcW w:w="3680" w:type="dxa"/>
            <w:shd w:val="clear" w:color="auto" w:fill="auto"/>
            <w:vAlign w:val="center"/>
          </w:tcPr>
          <w:p w14:paraId="1A7C07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章肖、张徐昕、沈俊杰</w:t>
            </w:r>
          </w:p>
        </w:tc>
      </w:tr>
      <w:tr w14:paraId="4AD78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1BF2A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2023-260</w:t>
            </w:r>
          </w:p>
        </w:tc>
        <w:tc>
          <w:tcPr>
            <w:tcW w:w="5431" w:type="dxa"/>
            <w:shd w:val="clear" w:color="auto" w:fill="auto"/>
            <w:vAlign w:val="center"/>
          </w:tcPr>
          <w:p w14:paraId="6141C7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凭借好风力，成就共富愿——义乌市福田街道社区学校成人继续教育助力共同富裕示范区策略优化研究</w:t>
            </w:r>
          </w:p>
        </w:tc>
        <w:tc>
          <w:tcPr>
            <w:tcW w:w="2869" w:type="dxa"/>
            <w:shd w:val="clear" w:color="auto" w:fill="auto"/>
            <w:vAlign w:val="center"/>
          </w:tcPr>
          <w:p w14:paraId="0EC674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义乌市福田街道社区学校</w:t>
            </w:r>
          </w:p>
        </w:tc>
        <w:tc>
          <w:tcPr>
            <w:tcW w:w="1281" w:type="dxa"/>
            <w:shd w:val="clear" w:color="auto" w:fill="auto"/>
            <w:noWrap/>
            <w:vAlign w:val="center"/>
          </w:tcPr>
          <w:p w14:paraId="2DFADD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金益民</w:t>
            </w:r>
          </w:p>
        </w:tc>
        <w:tc>
          <w:tcPr>
            <w:tcW w:w="3680" w:type="dxa"/>
            <w:shd w:val="clear" w:color="auto" w:fill="auto"/>
            <w:vAlign w:val="center"/>
          </w:tcPr>
          <w:p w14:paraId="09BC6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熊夏初、陈桂珍、傅秀群（执笔）、施晓娥、姜晗彦、杨艳、张利</w:t>
            </w:r>
          </w:p>
        </w:tc>
      </w:tr>
      <w:tr w14:paraId="640BA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14A44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w:t>
            </w:r>
          </w:p>
        </w:tc>
        <w:tc>
          <w:tcPr>
            <w:tcW w:w="5431" w:type="dxa"/>
            <w:shd w:val="clear" w:color="auto" w:fill="auto"/>
            <w:vAlign w:val="center"/>
          </w:tcPr>
          <w:p w14:paraId="2CE94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“码”上学习新模式赋能自由职业者可持续成长路径研究——以外卖骑手为例</w:t>
            </w:r>
          </w:p>
        </w:tc>
        <w:tc>
          <w:tcPr>
            <w:tcW w:w="2869" w:type="dxa"/>
            <w:shd w:val="clear" w:color="auto" w:fill="auto"/>
            <w:vAlign w:val="center"/>
          </w:tcPr>
          <w:p w14:paraId="7732CB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c>
          <w:tcPr>
            <w:tcW w:w="1281" w:type="dxa"/>
            <w:shd w:val="clear" w:color="auto" w:fill="auto"/>
            <w:vAlign w:val="center"/>
          </w:tcPr>
          <w:p w14:paraId="3C12F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王炜</w:t>
            </w:r>
          </w:p>
        </w:tc>
        <w:tc>
          <w:tcPr>
            <w:tcW w:w="3680" w:type="dxa"/>
            <w:shd w:val="clear" w:color="auto" w:fill="auto"/>
            <w:vAlign w:val="center"/>
          </w:tcPr>
          <w:p w14:paraId="5105AA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丁莉芳、张微、何诗语、厉心悦</w:t>
            </w:r>
          </w:p>
        </w:tc>
      </w:tr>
      <w:tr w14:paraId="41968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1120A0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2024-31</w:t>
            </w:r>
          </w:p>
        </w:tc>
        <w:tc>
          <w:tcPr>
            <w:tcW w:w="5431" w:type="dxa"/>
            <w:shd w:val="clear" w:color="auto" w:fill="auto"/>
            <w:vAlign w:val="center"/>
          </w:tcPr>
          <w:p w14:paraId="03D288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数字化转型背景下高职会展管理专业人才培养的路径创新研究</w:t>
            </w:r>
          </w:p>
        </w:tc>
        <w:tc>
          <w:tcPr>
            <w:tcW w:w="2869" w:type="dxa"/>
            <w:shd w:val="clear" w:color="auto" w:fill="auto"/>
            <w:vAlign w:val="center"/>
          </w:tcPr>
          <w:p w14:paraId="1AD4F9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c>
          <w:tcPr>
            <w:tcW w:w="1281" w:type="dxa"/>
            <w:shd w:val="clear" w:color="auto" w:fill="auto"/>
            <w:vAlign w:val="center"/>
          </w:tcPr>
          <w:p w14:paraId="09BFC4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王东</w:t>
            </w:r>
          </w:p>
        </w:tc>
        <w:tc>
          <w:tcPr>
            <w:tcW w:w="3680" w:type="dxa"/>
            <w:shd w:val="clear" w:color="auto" w:fill="auto"/>
            <w:vAlign w:val="center"/>
          </w:tcPr>
          <w:p w14:paraId="6ECB4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戴小红、韩冰、金方增、蔡颖华、李黎</w:t>
            </w:r>
          </w:p>
        </w:tc>
      </w:tr>
      <w:tr w14:paraId="08B55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0" w:hRule="atLeast"/>
        </w:trPr>
        <w:tc>
          <w:tcPr>
            <w:tcW w:w="1289" w:type="dxa"/>
            <w:shd w:val="clear" w:color="auto" w:fill="auto"/>
            <w:noWrap/>
            <w:vAlign w:val="center"/>
          </w:tcPr>
          <w:p w14:paraId="57280B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2024-42</w:t>
            </w:r>
          </w:p>
        </w:tc>
        <w:tc>
          <w:tcPr>
            <w:tcW w:w="5431" w:type="dxa"/>
            <w:shd w:val="clear" w:color="auto" w:fill="auto"/>
            <w:vAlign w:val="center"/>
          </w:tcPr>
          <w:p w14:paraId="3C20A9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智能制造领域现场工程师培养的现实困境与路径优化研究</w:t>
            </w:r>
          </w:p>
        </w:tc>
        <w:tc>
          <w:tcPr>
            <w:tcW w:w="2869" w:type="dxa"/>
            <w:shd w:val="clear" w:color="auto" w:fill="auto"/>
            <w:vAlign w:val="center"/>
          </w:tcPr>
          <w:p w14:paraId="04B28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金华职业技术大学</w:t>
            </w:r>
          </w:p>
        </w:tc>
        <w:tc>
          <w:tcPr>
            <w:tcW w:w="1281" w:type="dxa"/>
            <w:shd w:val="clear" w:color="auto" w:fill="auto"/>
            <w:vAlign w:val="center"/>
          </w:tcPr>
          <w:p w14:paraId="7935A0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邵建辉</w:t>
            </w:r>
          </w:p>
        </w:tc>
        <w:tc>
          <w:tcPr>
            <w:tcW w:w="3680" w:type="dxa"/>
            <w:shd w:val="clear" w:color="auto" w:fill="auto"/>
            <w:vAlign w:val="center"/>
          </w:tcPr>
          <w:p w14:paraId="7BF7F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肖建章</w:t>
            </w:r>
          </w:p>
        </w:tc>
      </w:tr>
      <w:tr w14:paraId="13EE7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0AB9FE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2024-80</w:t>
            </w:r>
          </w:p>
        </w:tc>
        <w:tc>
          <w:tcPr>
            <w:tcW w:w="5431" w:type="dxa"/>
            <w:shd w:val="clear" w:color="auto" w:fill="auto"/>
            <w:vAlign w:val="center"/>
          </w:tcPr>
          <w:p w14:paraId="0D3F04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新质生产力导向下职业教育创新人才培养研究——以会计专业为例</w:t>
            </w:r>
          </w:p>
        </w:tc>
        <w:tc>
          <w:tcPr>
            <w:tcW w:w="2869" w:type="dxa"/>
            <w:shd w:val="clear" w:color="auto" w:fill="auto"/>
            <w:vAlign w:val="center"/>
          </w:tcPr>
          <w:p w14:paraId="43931E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浙江宇翔职业技术学院</w:t>
            </w:r>
          </w:p>
        </w:tc>
        <w:tc>
          <w:tcPr>
            <w:tcW w:w="1281" w:type="dxa"/>
            <w:shd w:val="clear" w:color="auto" w:fill="auto"/>
            <w:vAlign w:val="center"/>
          </w:tcPr>
          <w:p w14:paraId="055563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苏金荣</w:t>
            </w:r>
          </w:p>
        </w:tc>
        <w:tc>
          <w:tcPr>
            <w:tcW w:w="3680" w:type="dxa"/>
            <w:shd w:val="clear" w:color="auto" w:fill="auto"/>
            <w:vAlign w:val="center"/>
          </w:tcPr>
          <w:p w14:paraId="11A671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王金艳、陈小凤</w:t>
            </w:r>
          </w:p>
        </w:tc>
      </w:tr>
      <w:tr w14:paraId="2EF38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300E9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2024-87</w:t>
            </w:r>
          </w:p>
        </w:tc>
        <w:tc>
          <w:tcPr>
            <w:tcW w:w="5431" w:type="dxa"/>
            <w:shd w:val="clear" w:color="auto" w:fill="auto"/>
            <w:vAlign w:val="center"/>
          </w:tcPr>
          <w:p w14:paraId="3B068B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“四链”融合视角下市域产教联合体建设研究</w:t>
            </w:r>
          </w:p>
        </w:tc>
        <w:tc>
          <w:tcPr>
            <w:tcW w:w="2869" w:type="dxa"/>
            <w:shd w:val="clear" w:color="auto" w:fill="auto"/>
            <w:vAlign w:val="center"/>
          </w:tcPr>
          <w:p w14:paraId="4BBFE2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宁波职业技术学院</w:t>
            </w:r>
          </w:p>
        </w:tc>
        <w:tc>
          <w:tcPr>
            <w:tcW w:w="1281" w:type="dxa"/>
            <w:shd w:val="clear" w:color="auto" w:fill="auto"/>
            <w:vAlign w:val="center"/>
          </w:tcPr>
          <w:p w14:paraId="1F09C1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马学俊</w:t>
            </w:r>
          </w:p>
        </w:tc>
        <w:tc>
          <w:tcPr>
            <w:tcW w:w="3680" w:type="dxa"/>
            <w:shd w:val="clear" w:color="auto" w:fill="auto"/>
            <w:vAlign w:val="center"/>
          </w:tcPr>
          <w:p w14:paraId="0648F7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刘硕硕、陈雷、程维维、王建勇、李锡勇</w:t>
            </w:r>
          </w:p>
        </w:tc>
      </w:tr>
      <w:tr w14:paraId="1A820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15BD12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2024-103</w:t>
            </w:r>
          </w:p>
        </w:tc>
        <w:tc>
          <w:tcPr>
            <w:tcW w:w="5431" w:type="dxa"/>
            <w:shd w:val="clear" w:color="auto" w:fill="auto"/>
            <w:vAlign w:val="center"/>
          </w:tcPr>
          <w:p w14:paraId="7DA200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高校继续教育创新服务县域高质量发展的“永康模式”探索与实践</w:t>
            </w:r>
          </w:p>
        </w:tc>
        <w:tc>
          <w:tcPr>
            <w:tcW w:w="2869" w:type="dxa"/>
            <w:shd w:val="clear" w:color="auto" w:fill="auto"/>
            <w:vAlign w:val="center"/>
          </w:tcPr>
          <w:p w14:paraId="6B78FB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浙江工业大学继续教育学院</w:t>
            </w:r>
          </w:p>
        </w:tc>
        <w:tc>
          <w:tcPr>
            <w:tcW w:w="1281" w:type="dxa"/>
            <w:shd w:val="clear" w:color="auto" w:fill="auto"/>
            <w:vAlign w:val="center"/>
          </w:tcPr>
          <w:p w14:paraId="3DD76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王炳忠</w:t>
            </w:r>
          </w:p>
        </w:tc>
        <w:tc>
          <w:tcPr>
            <w:tcW w:w="3680" w:type="dxa"/>
            <w:shd w:val="clear" w:color="auto" w:fill="auto"/>
            <w:vAlign w:val="center"/>
          </w:tcPr>
          <w:p w14:paraId="73596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朱跃建、张中萍、李澎林、倪智明、汤智、傅剑</w:t>
            </w:r>
          </w:p>
        </w:tc>
      </w:tr>
      <w:tr w14:paraId="6ED01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1411D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2024-129</w:t>
            </w:r>
          </w:p>
        </w:tc>
        <w:tc>
          <w:tcPr>
            <w:tcW w:w="5431" w:type="dxa"/>
            <w:shd w:val="clear" w:color="auto" w:fill="auto"/>
            <w:vAlign w:val="center"/>
          </w:tcPr>
          <w:p w14:paraId="24B05A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区域中高职一体化“一平台、五融合”人才培养模式研究——以机电技术应用专业为例</w:t>
            </w:r>
          </w:p>
        </w:tc>
        <w:tc>
          <w:tcPr>
            <w:tcW w:w="2869" w:type="dxa"/>
            <w:shd w:val="clear" w:color="auto" w:fill="auto"/>
            <w:vAlign w:val="center"/>
          </w:tcPr>
          <w:p w14:paraId="55F74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慈溪职业高级中学</w:t>
            </w:r>
          </w:p>
        </w:tc>
        <w:tc>
          <w:tcPr>
            <w:tcW w:w="1281" w:type="dxa"/>
            <w:shd w:val="clear" w:color="auto" w:fill="auto"/>
            <w:vAlign w:val="center"/>
          </w:tcPr>
          <w:p w14:paraId="4D24CE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戎建挺</w:t>
            </w:r>
          </w:p>
        </w:tc>
        <w:tc>
          <w:tcPr>
            <w:tcW w:w="3680" w:type="dxa"/>
            <w:shd w:val="clear" w:color="auto" w:fill="auto"/>
            <w:vAlign w:val="center"/>
          </w:tcPr>
          <w:p w14:paraId="6B5BA8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秦名敏（执笔）、苗钊宽、鲁杰、戚柏江、郑筱逸</w:t>
            </w:r>
          </w:p>
        </w:tc>
      </w:tr>
      <w:tr w14:paraId="1057A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29AB32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2024-130</w:t>
            </w:r>
          </w:p>
        </w:tc>
        <w:tc>
          <w:tcPr>
            <w:tcW w:w="5431" w:type="dxa"/>
            <w:shd w:val="clear" w:color="auto" w:fill="auto"/>
            <w:vAlign w:val="center"/>
          </w:tcPr>
          <w:p w14:paraId="09BBB2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职业能力培育视域下中职电商“一本二基四新” 活页式教材开发研究</w:t>
            </w:r>
          </w:p>
        </w:tc>
        <w:tc>
          <w:tcPr>
            <w:tcW w:w="2869" w:type="dxa"/>
            <w:shd w:val="clear" w:color="auto" w:fill="auto"/>
            <w:vAlign w:val="center"/>
          </w:tcPr>
          <w:p w14:paraId="2E81B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慈溪职业高级中学</w:t>
            </w:r>
          </w:p>
        </w:tc>
        <w:tc>
          <w:tcPr>
            <w:tcW w:w="1281" w:type="dxa"/>
            <w:shd w:val="clear" w:color="auto" w:fill="auto"/>
            <w:vAlign w:val="center"/>
          </w:tcPr>
          <w:p w14:paraId="62AD9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张佳芸</w:t>
            </w:r>
          </w:p>
        </w:tc>
        <w:tc>
          <w:tcPr>
            <w:tcW w:w="3680" w:type="dxa"/>
            <w:shd w:val="clear" w:color="auto" w:fill="auto"/>
            <w:vAlign w:val="center"/>
          </w:tcPr>
          <w:p w14:paraId="7C1B89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陆梦青、徐航洋、胡培豪</w:t>
            </w:r>
          </w:p>
        </w:tc>
      </w:tr>
      <w:tr w14:paraId="2B117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2ED686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2024-180</w:t>
            </w:r>
          </w:p>
        </w:tc>
        <w:tc>
          <w:tcPr>
            <w:tcW w:w="5431" w:type="dxa"/>
            <w:shd w:val="clear" w:color="auto" w:fill="auto"/>
            <w:vAlign w:val="center"/>
          </w:tcPr>
          <w:p w14:paraId="726391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五维潮汐：中小微企业五用人才培养范式研究</w:t>
            </w:r>
          </w:p>
        </w:tc>
        <w:tc>
          <w:tcPr>
            <w:tcW w:w="2869" w:type="dxa"/>
            <w:shd w:val="clear" w:color="auto" w:fill="auto"/>
            <w:vAlign w:val="center"/>
          </w:tcPr>
          <w:p w14:paraId="3476D9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绍兴市柯桥区职业教育中心</w:t>
            </w:r>
          </w:p>
        </w:tc>
        <w:tc>
          <w:tcPr>
            <w:tcW w:w="1281" w:type="dxa"/>
            <w:shd w:val="clear" w:color="auto" w:fill="auto"/>
            <w:vAlign w:val="center"/>
          </w:tcPr>
          <w:p w14:paraId="487CF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贾继冬</w:t>
            </w:r>
          </w:p>
        </w:tc>
        <w:tc>
          <w:tcPr>
            <w:tcW w:w="3680" w:type="dxa"/>
            <w:shd w:val="clear" w:color="auto" w:fill="auto"/>
            <w:vAlign w:val="center"/>
          </w:tcPr>
          <w:p w14:paraId="368306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傅俐俐、朱军彪、秦伟江、王权</w:t>
            </w:r>
          </w:p>
        </w:tc>
      </w:tr>
      <w:tr w14:paraId="73A03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06B6D1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2024-190</w:t>
            </w:r>
          </w:p>
        </w:tc>
        <w:tc>
          <w:tcPr>
            <w:tcW w:w="5431" w:type="dxa"/>
            <w:shd w:val="clear" w:color="auto" w:fill="auto"/>
            <w:vAlign w:val="center"/>
          </w:tcPr>
          <w:p w14:paraId="061B51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基于产教融合实训基地的“双精准”技能型人才培养生态系统研究</w:t>
            </w:r>
          </w:p>
        </w:tc>
        <w:tc>
          <w:tcPr>
            <w:tcW w:w="2869" w:type="dxa"/>
            <w:shd w:val="clear" w:color="auto" w:fill="auto"/>
            <w:vAlign w:val="center"/>
          </w:tcPr>
          <w:p w14:paraId="7F3C8C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浙江交通技师学院</w:t>
            </w:r>
          </w:p>
        </w:tc>
        <w:tc>
          <w:tcPr>
            <w:tcW w:w="1281" w:type="dxa"/>
            <w:shd w:val="clear" w:color="auto" w:fill="auto"/>
            <w:noWrap/>
            <w:vAlign w:val="center"/>
          </w:tcPr>
          <w:p w14:paraId="32FF30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蔡立锋</w:t>
            </w:r>
          </w:p>
        </w:tc>
        <w:tc>
          <w:tcPr>
            <w:tcW w:w="3680" w:type="dxa"/>
            <w:shd w:val="clear" w:color="auto" w:fill="auto"/>
            <w:vAlign w:val="center"/>
          </w:tcPr>
          <w:p w14:paraId="1F7D7A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许云珍、欧才学、董其炜、谢志平、虞佳、季建利</w:t>
            </w:r>
          </w:p>
        </w:tc>
      </w:tr>
      <w:tr w14:paraId="2C859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0" w:hRule="atLeast"/>
        </w:trPr>
        <w:tc>
          <w:tcPr>
            <w:tcW w:w="1289" w:type="dxa"/>
            <w:shd w:val="clear" w:color="auto" w:fill="auto"/>
            <w:noWrap/>
            <w:vAlign w:val="center"/>
          </w:tcPr>
          <w:p w14:paraId="3B5B76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2024-202</w:t>
            </w:r>
          </w:p>
        </w:tc>
        <w:tc>
          <w:tcPr>
            <w:tcW w:w="5431" w:type="dxa"/>
            <w:shd w:val="clear" w:color="auto" w:fill="auto"/>
            <w:vAlign w:val="center"/>
          </w:tcPr>
          <w:p w14:paraId="37C126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基于“一院两园”理念的常山产业人才学院实践研究</w:t>
            </w:r>
          </w:p>
        </w:tc>
        <w:tc>
          <w:tcPr>
            <w:tcW w:w="2869" w:type="dxa"/>
            <w:shd w:val="clear" w:color="auto" w:fill="auto"/>
            <w:vAlign w:val="center"/>
          </w:tcPr>
          <w:p w14:paraId="3ACCB3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常山技工学校</w:t>
            </w:r>
          </w:p>
        </w:tc>
        <w:tc>
          <w:tcPr>
            <w:tcW w:w="1281" w:type="dxa"/>
            <w:shd w:val="clear" w:color="auto" w:fill="auto"/>
            <w:vAlign w:val="center"/>
          </w:tcPr>
          <w:p w14:paraId="12DE1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马泽民</w:t>
            </w:r>
          </w:p>
        </w:tc>
        <w:tc>
          <w:tcPr>
            <w:tcW w:w="3680" w:type="dxa"/>
            <w:shd w:val="clear" w:color="auto" w:fill="auto"/>
            <w:vAlign w:val="center"/>
          </w:tcPr>
          <w:p w14:paraId="43E75C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胡志良、方俊（执笔）、陈剑楠、徐胜</w:t>
            </w:r>
          </w:p>
        </w:tc>
      </w:tr>
      <w:tr w14:paraId="1746F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289" w:type="dxa"/>
            <w:shd w:val="clear" w:color="auto" w:fill="auto"/>
            <w:noWrap/>
            <w:vAlign w:val="center"/>
          </w:tcPr>
          <w:p w14:paraId="39757F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2024-222</w:t>
            </w:r>
          </w:p>
        </w:tc>
        <w:tc>
          <w:tcPr>
            <w:tcW w:w="5431" w:type="dxa"/>
            <w:shd w:val="clear" w:color="auto" w:fill="auto"/>
            <w:vAlign w:val="center"/>
          </w:tcPr>
          <w:p w14:paraId="1CAE3B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校-园（院）融合：全程实践教学研究</w:t>
            </w:r>
          </w:p>
        </w:tc>
        <w:tc>
          <w:tcPr>
            <w:tcW w:w="2869" w:type="dxa"/>
            <w:shd w:val="clear" w:color="auto" w:fill="auto"/>
            <w:vAlign w:val="center"/>
          </w:tcPr>
          <w:p w14:paraId="696594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温岭市职业技术学校</w:t>
            </w:r>
          </w:p>
        </w:tc>
        <w:tc>
          <w:tcPr>
            <w:tcW w:w="1281" w:type="dxa"/>
            <w:shd w:val="clear" w:color="auto" w:fill="auto"/>
            <w:vAlign w:val="center"/>
          </w:tcPr>
          <w:p w14:paraId="76D3B0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郑轩</w:t>
            </w:r>
          </w:p>
        </w:tc>
        <w:tc>
          <w:tcPr>
            <w:tcW w:w="3680" w:type="dxa"/>
            <w:shd w:val="clear" w:color="auto" w:fill="auto"/>
            <w:vAlign w:val="center"/>
          </w:tcPr>
          <w:p w14:paraId="0DBBAE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马驹、郭海英、林颖、林艺、梁玢阳、潘峰</w:t>
            </w:r>
          </w:p>
        </w:tc>
      </w:tr>
      <w:tr w14:paraId="65B4B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1289" w:type="dxa"/>
            <w:shd w:val="clear" w:color="auto" w:fill="auto"/>
            <w:noWrap/>
            <w:vAlign w:val="center"/>
          </w:tcPr>
          <w:p w14:paraId="605A6B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2024-228</w:t>
            </w:r>
          </w:p>
        </w:tc>
        <w:tc>
          <w:tcPr>
            <w:tcW w:w="5431" w:type="dxa"/>
            <w:shd w:val="clear" w:color="auto" w:fill="auto"/>
            <w:vAlign w:val="center"/>
          </w:tcPr>
          <w:p w14:paraId="578234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链学导评 专创融合——中职英语“数智+”教学模式的实践探究</w:t>
            </w:r>
          </w:p>
        </w:tc>
        <w:tc>
          <w:tcPr>
            <w:tcW w:w="2869" w:type="dxa"/>
            <w:shd w:val="clear" w:color="auto" w:fill="auto"/>
            <w:vAlign w:val="center"/>
          </w:tcPr>
          <w:p w14:paraId="25332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缙云县工艺美术学校</w:t>
            </w:r>
          </w:p>
        </w:tc>
        <w:tc>
          <w:tcPr>
            <w:tcW w:w="1281" w:type="dxa"/>
            <w:shd w:val="clear" w:color="auto" w:fill="auto"/>
            <w:vAlign w:val="center"/>
          </w:tcPr>
          <w:p w14:paraId="6EFF4C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赵洋</w:t>
            </w:r>
          </w:p>
        </w:tc>
        <w:tc>
          <w:tcPr>
            <w:tcW w:w="3680" w:type="dxa"/>
            <w:shd w:val="clear" w:color="auto" w:fill="auto"/>
            <w:vAlign w:val="center"/>
          </w:tcPr>
          <w:p w14:paraId="22BA71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赵洋、卢小俊（执笔）、齐日昆、卢利开、蒋智敏</w:t>
            </w:r>
          </w:p>
        </w:tc>
      </w:tr>
      <w:tr w14:paraId="4F03A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trPr>
        <w:tc>
          <w:tcPr>
            <w:tcW w:w="1289" w:type="dxa"/>
            <w:shd w:val="clear" w:color="auto" w:fill="auto"/>
            <w:noWrap/>
            <w:vAlign w:val="center"/>
          </w:tcPr>
          <w:p w14:paraId="5AD5CE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2024-276</w:t>
            </w:r>
          </w:p>
        </w:tc>
        <w:tc>
          <w:tcPr>
            <w:tcW w:w="5431" w:type="dxa"/>
            <w:shd w:val="clear" w:color="auto" w:fill="auto"/>
            <w:vAlign w:val="center"/>
          </w:tcPr>
          <w:p w14:paraId="29A7D2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五有三型：依托文化礼堂打造山区老年幸福驿站的实践研究</w:t>
            </w:r>
          </w:p>
        </w:tc>
        <w:tc>
          <w:tcPr>
            <w:tcW w:w="2869" w:type="dxa"/>
            <w:shd w:val="clear" w:color="auto" w:fill="auto"/>
            <w:vAlign w:val="center"/>
          </w:tcPr>
          <w:p w14:paraId="74BA90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浦江县檀溪镇成人文化技术学校</w:t>
            </w:r>
          </w:p>
        </w:tc>
        <w:tc>
          <w:tcPr>
            <w:tcW w:w="1281" w:type="dxa"/>
            <w:shd w:val="clear" w:color="auto" w:fill="auto"/>
            <w:vAlign w:val="center"/>
          </w:tcPr>
          <w:p w14:paraId="4A68EA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金秀丽</w:t>
            </w:r>
          </w:p>
        </w:tc>
        <w:tc>
          <w:tcPr>
            <w:tcW w:w="3680" w:type="dxa"/>
            <w:shd w:val="clear" w:color="auto" w:fill="auto"/>
            <w:vAlign w:val="center"/>
          </w:tcPr>
          <w:p w14:paraId="5106B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张海越（执笔）、周海霞、张豪、虞尚清、余媛</w:t>
            </w:r>
          </w:p>
        </w:tc>
      </w:tr>
    </w:tbl>
    <w:p w14:paraId="77F048F6">
      <w:pPr>
        <w:widowControl/>
        <w:numPr>
          <w:ilvl w:val="0"/>
          <w:numId w:val="0"/>
        </w:numPr>
        <w:spacing w:line="520" w:lineRule="exact"/>
        <w:jc w:val="left"/>
        <w:rPr>
          <w:rFonts w:hint="default" w:ascii="仿宋" w:hAnsi="仿宋" w:eastAsia="仿宋" w:cs="仿宋"/>
          <w:sz w:val="32"/>
          <w:szCs w:val="32"/>
          <w:lang w:val="en-US" w:eastAsia="zh-CN"/>
        </w:rPr>
      </w:pPr>
    </w:p>
    <w:sectPr>
      <w:headerReference r:id="rId3" w:type="default"/>
      <w:footerReference r:id="rId4"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auto"/>
    <w:pitch w:val="default"/>
    <w:sig w:usb0="00000001" w:usb1="080E0000" w:usb2="00000000" w:usb3="00000000" w:csb0="00040000" w:csb1="00000000"/>
    <w:embedRegular r:id="rId1" w:fontKey="{4CE0A63E-CD98-460A-AFAE-1DC5A0E940E1}"/>
  </w:font>
  <w:font w:name="仿宋_GB2312">
    <w:panose1 w:val="02010609030101010101"/>
    <w:charset w:val="86"/>
    <w:family w:val="modern"/>
    <w:pitch w:val="default"/>
    <w:sig w:usb0="00000001" w:usb1="080E0000" w:usb2="00000000" w:usb3="00000000" w:csb0="00040000" w:csb1="00000000"/>
    <w:embedRegular r:id="rId2" w:fontKey="{2D51D3CC-0BE3-443F-8AFD-8B62B86440F9}"/>
  </w:font>
  <w:font w:name="仿宋">
    <w:panose1 w:val="02010609060101010101"/>
    <w:charset w:val="86"/>
    <w:family w:val="auto"/>
    <w:pitch w:val="default"/>
    <w:sig w:usb0="800002BF" w:usb1="38CF7CFA" w:usb2="00000016" w:usb3="00000000" w:csb0="00040001" w:csb1="00000000"/>
    <w:embedRegular r:id="rId3" w:fontKey="{D5186442-D0DA-4B5A-9F11-B2F34156D63F}"/>
  </w:font>
  <w:font w:name="方正仿宋_GB2312">
    <w:panose1 w:val="02000000000000000000"/>
    <w:charset w:val="86"/>
    <w:family w:val="auto"/>
    <w:pitch w:val="default"/>
    <w:sig w:usb0="A00002BF" w:usb1="184F6CFA" w:usb2="00000012" w:usb3="00000000" w:csb0="00040001" w:csb1="00000000"/>
    <w:embedRegular r:id="rId4" w:fontKey="{B9F3CCF4-1CFE-411C-AA29-506A432DBB2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5C115">
    <w:pPr>
      <w:pStyle w:val="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019575">
                          <w:pPr>
                            <w:pStyle w:val="4"/>
                            <w:jc w:val="center"/>
                          </w:pPr>
                          <w:r>
                            <w:fldChar w:fldCharType="begin"/>
                          </w:r>
                          <w:r>
                            <w:instrText xml:space="preserve"> PAGE   \* MERGEFORMAT </w:instrText>
                          </w:r>
                          <w:r>
                            <w:fldChar w:fldCharType="separate"/>
                          </w:r>
                          <w:r>
                            <w:rPr>
                              <w:lang w:val="zh-CN"/>
                            </w:rPr>
                            <w:t>13</w:t>
                          </w:r>
                          <w:r>
                            <w:rPr>
                              <w:lang w:val="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Ux0jM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1THSMyQEAAJkDAAAOAAAAAAAAAAEAIAAAAB4BAABkcnMvZTJvRG9j&#10;LnhtbFBLBQYAAAAABgAGAFkBAABZBQAAAAA=&#10;">
              <v:fill on="f" focussize="0,0"/>
              <v:stroke on="f"/>
              <v:imagedata o:title=""/>
              <o:lock v:ext="edit" aspectratio="f"/>
              <v:textbox inset="0mm,0mm,0mm,0mm" style="mso-fit-shape-to-text:t;">
                <w:txbxContent>
                  <w:p w14:paraId="76019575">
                    <w:pPr>
                      <w:pStyle w:val="4"/>
                      <w:jc w:val="center"/>
                    </w:pPr>
                    <w:r>
                      <w:fldChar w:fldCharType="begin"/>
                    </w:r>
                    <w:r>
                      <w:instrText xml:space="preserve"> PAGE   \* MERGEFORMAT </w:instrText>
                    </w:r>
                    <w:r>
                      <w:fldChar w:fldCharType="separate"/>
                    </w:r>
                    <w:r>
                      <w:rPr>
                        <w:lang w:val="zh-CN"/>
                      </w:rPr>
                      <w:t>13</w:t>
                    </w:r>
                    <w:r>
                      <w:rPr>
                        <w:lang w:val="zh-CN"/>
                      </w:rPr>
                      <w:fldChar w:fldCharType="end"/>
                    </w:r>
                  </w:p>
                </w:txbxContent>
              </v:textbox>
            </v:shape>
          </w:pict>
        </mc:Fallback>
      </mc:AlternateContent>
    </w:r>
  </w:p>
  <w:p w14:paraId="2796A89C">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AA03AE">
    <w:pPr>
      <w:pStyle w:val="5"/>
      <w:pBdr>
        <w:bottom w:val="none" w:color="auto" w:sz="0" w:space="0"/>
      </w:pBdr>
      <w:ind w:left="525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4N2Y4MDY0NTg5NWQ1ZDZjYjZmNjg5MmU0NTYwNjAifQ=="/>
  </w:docVars>
  <w:rsids>
    <w:rsidRoot w:val="00FF6448"/>
    <w:rsid w:val="001E7C6A"/>
    <w:rsid w:val="00273748"/>
    <w:rsid w:val="003B11F3"/>
    <w:rsid w:val="003C28DE"/>
    <w:rsid w:val="003E1602"/>
    <w:rsid w:val="006772E5"/>
    <w:rsid w:val="006D736D"/>
    <w:rsid w:val="007147DE"/>
    <w:rsid w:val="007B7025"/>
    <w:rsid w:val="00AB6FE2"/>
    <w:rsid w:val="00FF6448"/>
    <w:rsid w:val="01AA176A"/>
    <w:rsid w:val="030E1AB2"/>
    <w:rsid w:val="0554654E"/>
    <w:rsid w:val="05E14D9D"/>
    <w:rsid w:val="074F2F9E"/>
    <w:rsid w:val="077B3E73"/>
    <w:rsid w:val="0A2C751F"/>
    <w:rsid w:val="0AEE49C5"/>
    <w:rsid w:val="0C6376AC"/>
    <w:rsid w:val="0CC520B1"/>
    <w:rsid w:val="0D6B328F"/>
    <w:rsid w:val="0D936F86"/>
    <w:rsid w:val="0E4859C4"/>
    <w:rsid w:val="0E4C412A"/>
    <w:rsid w:val="0FB47FE8"/>
    <w:rsid w:val="12A916CA"/>
    <w:rsid w:val="13E8587F"/>
    <w:rsid w:val="14A43221"/>
    <w:rsid w:val="14DC17A7"/>
    <w:rsid w:val="14E0745C"/>
    <w:rsid w:val="15F13CE3"/>
    <w:rsid w:val="16925159"/>
    <w:rsid w:val="17211849"/>
    <w:rsid w:val="176D5316"/>
    <w:rsid w:val="17853981"/>
    <w:rsid w:val="18DE2936"/>
    <w:rsid w:val="190E56CF"/>
    <w:rsid w:val="1A81410A"/>
    <w:rsid w:val="1B332996"/>
    <w:rsid w:val="1CF42733"/>
    <w:rsid w:val="1E0D19BE"/>
    <w:rsid w:val="1E4A1AE4"/>
    <w:rsid w:val="1F64020E"/>
    <w:rsid w:val="1FBB3F92"/>
    <w:rsid w:val="20E2583C"/>
    <w:rsid w:val="21063D77"/>
    <w:rsid w:val="21E32762"/>
    <w:rsid w:val="22115DF1"/>
    <w:rsid w:val="22625D7D"/>
    <w:rsid w:val="226C5E9B"/>
    <w:rsid w:val="2374366C"/>
    <w:rsid w:val="2382040F"/>
    <w:rsid w:val="252870E7"/>
    <w:rsid w:val="255C3FD7"/>
    <w:rsid w:val="26EA68D8"/>
    <w:rsid w:val="27DE43F7"/>
    <w:rsid w:val="287C4664"/>
    <w:rsid w:val="293B3138"/>
    <w:rsid w:val="29DB70A1"/>
    <w:rsid w:val="29EA6657"/>
    <w:rsid w:val="2A0E2F17"/>
    <w:rsid w:val="2B4D7144"/>
    <w:rsid w:val="2C652602"/>
    <w:rsid w:val="2C8A01EE"/>
    <w:rsid w:val="2CBE1B83"/>
    <w:rsid w:val="2D550E5B"/>
    <w:rsid w:val="2DF8489B"/>
    <w:rsid w:val="2E093CE6"/>
    <w:rsid w:val="2E6526F9"/>
    <w:rsid w:val="2F1F5CDD"/>
    <w:rsid w:val="2F4C6421"/>
    <w:rsid w:val="326D32D0"/>
    <w:rsid w:val="32761D96"/>
    <w:rsid w:val="33D360BC"/>
    <w:rsid w:val="34964E95"/>
    <w:rsid w:val="34AD1ED3"/>
    <w:rsid w:val="35950F60"/>
    <w:rsid w:val="35B51AE5"/>
    <w:rsid w:val="373832D4"/>
    <w:rsid w:val="386319C0"/>
    <w:rsid w:val="38891BDC"/>
    <w:rsid w:val="39882A09"/>
    <w:rsid w:val="3A132442"/>
    <w:rsid w:val="3A226D95"/>
    <w:rsid w:val="3A3D6F16"/>
    <w:rsid w:val="3A6A5551"/>
    <w:rsid w:val="3ADF1E3C"/>
    <w:rsid w:val="3DEF579D"/>
    <w:rsid w:val="3FFA1395"/>
    <w:rsid w:val="401C1679"/>
    <w:rsid w:val="4095655E"/>
    <w:rsid w:val="42804A02"/>
    <w:rsid w:val="42A63794"/>
    <w:rsid w:val="42A9786C"/>
    <w:rsid w:val="42F15A79"/>
    <w:rsid w:val="43972389"/>
    <w:rsid w:val="44A320B6"/>
    <w:rsid w:val="45F143B0"/>
    <w:rsid w:val="46262348"/>
    <w:rsid w:val="486D4EEB"/>
    <w:rsid w:val="48D42E20"/>
    <w:rsid w:val="4AA62139"/>
    <w:rsid w:val="4AE179D0"/>
    <w:rsid w:val="4B5A2F6F"/>
    <w:rsid w:val="4B8F55D3"/>
    <w:rsid w:val="4BF60937"/>
    <w:rsid w:val="4CD44745"/>
    <w:rsid w:val="4DB20386"/>
    <w:rsid w:val="4ED40F7B"/>
    <w:rsid w:val="50EB2075"/>
    <w:rsid w:val="5137640D"/>
    <w:rsid w:val="52755A33"/>
    <w:rsid w:val="53931D15"/>
    <w:rsid w:val="5426526A"/>
    <w:rsid w:val="543514CC"/>
    <w:rsid w:val="543C5CF8"/>
    <w:rsid w:val="54711BDF"/>
    <w:rsid w:val="54EC0AD9"/>
    <w:rsid w:val="553E76D4"/>
    <w:rsid w:val="579F4BC8"/>
    <w:rsid w:val="57A910F7"/>
    <w:rsid w:val="5801655E"/>
    <w:rsid w:val="58C13C94"/>
    <w:rsid w:val="59430A18"/>
    <w:rsid w:val="5A6C2928"/>
    <w:rsid w:val="5A74572B"/>
    <w:rsid w:val="5CAD5FE7"/>
    <w:rsid w:val="5CC22769"/>
    <w:rsid w:val="5F9C1039"/>
    <w:rsid w:val="602C67F9"/>
    <w:rsid w:val="603F5885"/>
    <w:rsid w:val="605E1C6C"/>
    <w:rsid w:val="61037B3C"/>
    <w:rsid w:val="61692C3A"/>
    <w:rsid w:val="61933F99"/>
    <w:rsid w:val="622231B2"/>
    <w:rsid w:val="63AE78D4"/>
    <w:rsid w:val="63D2554F"/>
    <w:rsid w:val="661C2303"/>
    <w:rsid w:val="66A027B0"/>
    <w:rsid w:val="67BA2941"/>
    <w:rsid w:val="67F36504"/>
    <w:rsid w:val="682312D6"/>
    <w:rsid w:val="687D39A2"/>
    <w:rsid w:val="69EA32AA"/>
    <w:rsid w:val="69FB6D3D"/>
    <w:rsid w:val="6B736708"/>
    <w:rsid w:val="6C841BAD"/>
    <w:rsid w:val="6CFD3B46"/>
    <w:rsid w:val="6D3276C6"/>
    <w:rsid w:val="6D4F426D"/>
    <w:rsid w:val="6DE75F8E"/>
    <w:rsid w:val="6EAB79CE"/>
    <w:rsid w:val="6F253361"/>
    <w:rsid w:val="6F373DC6"/>
    <w:rsid w:val="714C5157"/>
    <w:rsid w:val="72325D0A"/>
    <w:rsid w:val="73463E2A"/>
    <w:rsid w:val="73716125"/>
    <w:rsid w:val="741378D9"/>
    <w:rsid w:val="74387AED"/>
    <w:rsid w:val="74AF2ABB"/>
    <w:rsid w:val="74CF4201"/>
    <w:rsid w:val="75FD4573"/>
    <w:rsid w:val="75FF55ED"/>
    <w:rsid w:val="76A67E57"/>
    <w:rsid w:val="77525904"/>
    <w:rsid w:val="79336A02"/>
    <w:rsid w:val="793C0E18"/>
    <w:rsid w:val="7BDC1394"/>
    <w:rsid w:val="7C903EF9"/>
    <w:rsid w:val="7C96254D"/>
    <w:rsid w:val="7D7636F9"/>
    <w:rsid w:val="7E1C0D3A"/>
    <w:rsid w:val="7EEC4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360" w:lineRule="auto"/>
      <w:ind w:firstLine="540" w:firstLineChars="225"/>
    </w:pPr>
    <w:rPr>
      <w:color w:val="000000"/>
      <w:sz w:val="24"/>
      <w:szCs w:val="24"/>
    </w:rPr>
  </w:style>
  <w:style w:type="paragraph" w:styleId="3">
    <w:name w:val="Balloon Text"/>
    <w:basedOn w:val="1"/>
    <w:link w:val="12"/>
    <w:semiHidden/>
    <w:unhideWhenUsed/>
    <w:qFormat/>
    <w:uiPriority w:val="99"/>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2"/>
    <w:basedOn w:val="2"/>
    <w:unhideWhenUsed/>
    <w:qFormat/>
    <w:uiPriority w:val="99"/>
    <w:pPr>
      <w:ind w:firstLine="420" w:firstLineChars="200"/>
    </w:pPr>
  </w:style>
  <w:style w:type="character" w:styleId="10">
    <w:name w:val="Hyperlink"/>
    <w:basedOn w:val="9"/>
    <w:semiHidden/>
    <w:unhideWhenUsed/>
    <w:qFormat/>
    <w:uiPriority w:val="99"/>
    <w:rPr>
      <w:color w:val="0000FF"/>
      <w:u w:val="single"/>
    </w:rPr>
  </w:style>
  <w:style w:type="paragraph" w:customStyle="1" w:styleId="11">
    <w:name w:val="Char"/>
    <w:qFormat/>
    <w:uiPriority w:val="0"/>
    <w:pPr>
      <w:widowControl w:val="0"/>
      <w:jc w:val="both"/>
    </w:pPr>
    <w:rPr>
      <w:rFonts w:ascii="Times New Roman" w:hAnsi="Calibri" w:eastAsia="宋体" w:cs="Times New Roman"/>
      <w:kern w:val="2"/>
      <w:sz w:val="21"/>
      <w:szCs w:val="22"/>
      <w:lang w:val="en-US" w:eastAsia="zh-CN" w:bidi="ar-SA"/>
    </w:rPr>
  </w:style>
  <w:style w:type="character" w:customStyle="1" w:styleId="12">
    <w:name w:val="批注框文本 Char"/>
    <w:basedOn w:val="9"/>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6</Pages>
  <Words>3207</Words>
  <Characters>3559</Characters>
  <Lines>36</Lines>
  <Paragraphs>10</Paragraphs>
  <TotalTime>0</TotalTime>
  <ScaleCrop>false</ScaleCrop>
  <LinksUpToDate>false</LinksUpToDate>
  <CharactersWithSpaces>3562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2021-08-05T06:47:00Z</dcterms:created>
  <dc:creator>2013</dc:creator>
  <cp:lastModifiedBy>暧暧远人村</cp:lastModifiedBy>
  <cp:lastPrinted>2025-06-16T03:02:38Z</cp:lastPrinted>
  <dcterms:modified xsi:type="dcterms:W3CDTF">2025-06-16T03:11:20Z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8FD6F559B01343F9877F80AB81BD4421_13</vt:lpwstr>
  </property>
  <property fmtid="{D5CDD505-2E9C-101B-9397-08002B2CF9AE}" pid="4" name="KSOTemplateDocerSaveRecord">
    <vt:lpwstr>eyJoZGlkIjoiMzkxZDljOWRjY2JhZjAzYTk1M2JiNGQ2ODcwYTZiMWYiLCJ1c2VySWQiOiI1Nzk0OTE3NDYifQ==</vt:lpwstr>
  </property>
</Properties>
</file>